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88382" w14:textId="77777777" w:rsidR="007B6E2E" w:rsidRPr="00A40217" w:rsidRDefault="007B6E2E" w:rsidP="00C315E8">
      <w:pPr>
        <w:spacing w:after="0"/>
        <w:rPr>
          <w:rFonts w:cstheme="minorHAnsi"/>
        </w:rPr>
      </w:pPr>
      <w:bookmarkStart w:id="0" w:name="_Toc424301839"/>
    </w:p>
    <w:sdt>
      <w:sdtPr>
        <w:rPr>
          <w:rFonts w:asciiTheme="minorHAnsi" w:eastAsiaTheme="minorHAnsi" w:hAnsiTheme="minorHAnsi" w:cstheme="minorHAnsi"/>
          <w:color w:val="auto"/>
          <w:sz w:val="22"/>
          <w:szCs w:val="22"/>
          <w:lang w:val="en-IN"/>
        </w:rPr>
        <w:id w:val="1812512563"/>
        <w:docPartObj>
          <w:docPartGallery w:val="Table of Contents"/>
          <w:docPartUnique/>
        </w:docPartObj>
      </w:sdtPr>
      <w:sdtEndPr>
        <w:rPr>
          <w:b/>
          <w:bCs/>
          <w:noProof/>
        </w:rPr>
      </w:sdtEndPr>
      <w:sdtContent>
        <w:p w14:paraId="2726124F" w14:textId="604C6139" w:rsidR="007B6E2E" w:rsidRPr="00A40217" w:rsidRDefault="007B6E2E">
          <w:pPr>
            <w:pStyle w:val="TOCHeading"/>
            <w:rPr>
              <w:rFonts w:asciiTheme="minorHAnsi" w:hAnsiTheme="minorHAnsi" w:cstheme="minorHAnsi"/>
            </w:rPr>
          </w:pPr>
          <w:r w:rsidRPr="00A40217">
            <w:rPr>
              <w:rFonts w:asciiTheme="minorHAnsi" w:hAnsiTheme="minorHAnsi" w:cstheme="minorHAnsi"/>
            </w:rPr>
            <w:t>Contents</w:t>
          </w:r>
        </w:p>
        <w:p w14:paraId="7C439887" w14:textId="72316C86" w:rsidR="00F24817" w:rsidRDefault="007B6E2E">
          <w:pPr>
            <w:pStyle w:val="TOC1"/>
            <w:tabs>
              <w:tab w:val="left" w:pos="440"/>
              <w:tab w:val="right" w:leader="dot" w:pos="9016"/>
            </w:tabs>
            <w:rPr>
              <w:rFonts w:eastAsiaTheme="minorEastAsia"/>
              <w:noProof/>
              <w:lang w:eastAsia="en-IN"/>
            </w:rPr>
          </w:pPr>
          <w:r w:rsidRPr="00A40217">
            <w:rPr>
              <w:rFonts w:cstheme="minorHAnsi"/>
            </w:rPr>
            <w:fldChar w:fldCharType="begin"/>
          </w:r>
          <w:r w:rsidRPr="00A40217">
            <w:rPr>
              <w:rFonts w:cstheme="minorHAnsi"/>
            </w:rPr>
            <w:instrText xml:space="preserve"> TOC \o "1-3" \h \z \u </w:instrText>
          </w:r>
          <w:r w:rsidRPr="00A40217">
            <w:rPr>
              <w:rFonts w:cstheme="minorHAnsi"/>
            </w:rPr>
            <w:fldChar w:fldCharType="separate"/>
          </w:r>
          <w:hyperlink w:anchor="_Toc85106179" w:history="1">
            <w:r w:rsidR="00F24817" w:rsidRPr="00231828">
              <w:rPr>
                <w:rStyle w:val="Hyperlink"/>
                <w:rFonts w:cstheme="minorHAnsi"/>
                <w:noProof/>
              </w:rPr>
              <w:t>1</w:t>
            </w:r>
            <w:r w:rsidR="00F24817">
              <w:rPr>
                <w:rFonts w:eastAsiaTheme="minorEastAsia"/>
                <w:noProof/>
                <w:lang w:eastAsia="en-IN"/>
              </w:rPr>
              <w:tab/>
            </w:r>
            <w:r w:rsidR="00F24817" w:rsidRPr="00231828">
              <w:rPr>
                <w:rStyle w:val="Hyperlink"/>
                <w:rFonts w:cstheme="minorHAnsi"/>
                <w:noProof/>
              </w:rPr>
              <w:t>HOUSEHOLD TRAVEL SURVEY</w:t>
            </w:r>
            <w:r w:rsidR="00F24817">
              <w:rPr>
                <w:noProof/>
                <w:webHidden/>
              </w:rPr>
              <w:tab/>
            </w:r>
            <w:r w:rsidR="00F24817">
              <w:rPr>
                <w:noProof/>
                <w:webHidden/>
              </w:rPr>
              <w:fldChar w:fldCharType="begin"/>
            </w:r>
            <w:r w:rsidR="00F24817">
              <w:rPr>
                <w:noProof/>
                <w:webHidden/>
              </w:rPr>
              <w:instrText xml:space="preserve"> PAGEREF _Toc85106179 \h </w:instrText>
            </w:r>
            <w:r w:rsidR="00F24817">
              <w:rPr>
                <w:noProof/>
                <w:webHidden/>
              </w:rPr>
            </w:r>
            <w:r w:rsidR="00F24817">
              <w:rPr>
                <w:noProof/>
                <w:webHidden/>
              </w:rPr>
              <w:fldChar w:fldCharType="separate"/>
            </w:r>
            <w:r w:rsidR="00F24817">
              <w:rPr>
                <w:noProof/>
                <w:webHidden/>
              </w:rPr>
              <w:t>1</w:t>
            </w:r>
            <w:r w:rsidR="00F24817">
              <w:rPr>
                <w:noProof/>
                <w:webHidden/>
              </w:rPr>
              <w:fldChar w:fldCharType="end"/>
            </w:r>
          </w:hyperlink>
        </w:p>
        <w:p w14:paraId="483F5BB8" w14:textId="4091EA9D" w:rsidR="00F24817" w:rsidRDefault="00030791">
          <w:pPr>
            <w:pStyle w:val="TOC1"/>
            <w:tabs>
              <w:tab w:val="left" w:pos="440"/>
              <w:tab w:val="right" w:leader="dot" w:pos="9016"/>
            </w:tabs>
            <w:rPr>
              <w:rFonts w:eastAsiaTheme="minorEastAsia"/>
              <w:noProof/>
              <w:lang w:eastAsia="en-IN"/>
            </w:rPr>
          </w:pPr>
          <w:hyperlink w:anchor="_Toc85106180" w:history="1">
            <w:r w:rsidR="00F24817" w:rsidRPr="00231828">
              <w:rPr>
                <w:rStyle w:val="Hyperlink"/>
                <w:rFonts w:cstheme="minorHAnsi"/>
                <w:noProof/>
              </w:rPr>
              <w:t>2</w:t>
            </w:r>
            <w:r w:rsidR="00F24817">
              <w:rPr>
                <w:rFonts w:eastAsiaTheme="minorEastAsia"/>
                <w:noProof/>
                <w:lang w:eastAsia="en-IN"/>
              </w:rPr>
              <w:tab/>
            </w:r>
            <w:r w:rsidR="00F24817" w:rsidRPr="00231828">
              <w:rPr>
                <w:rStyle w:val="Hyperlink"/>
                <w:rFonts w:cstheme="minorHAnsi"/>
                <w:noProof/>
              </w:rPr>
              <w:t>BASELINE HEALTH BURDEN</w:t>
            </w:r>
            <w:r w:rsidR="00F24817">
              <w:rPr>
                <w:noProof/>
                <w:webHidden/>
              </w:rPr>
              <w:tab/>
            </w:r>
            <w:r w:rsidR="00F24817">
              <w:rPr>
                <w:noProof/>
                <w:webHidden/>
              </w:rPr>
              <w:fldChar w:fldCharType="begin"/>
            </w:r>
            <w:r w:rsidR="00F24817">
              <w:rPr>
                <w:noProof/>
                <w:webHidden/>
              </w:rPr>
              <w:instrText xml:space="preserve"> PAGEREF _Toc85106180 \h </w:instrText>
            </w:r>
            <w:r w:rsidR="00F24817">
              <w:rPr>
                <w:noProof/>
                <w:webHidden/>
              </w:rPr>
            </w:r>
            <w:r w:rsidR="00F24817">
              <w:rPr>
                <w:noProof/>
                <w:webHidden/>
              </w:rPr>
              <w:fldChar w:fldCharType="separate"/>
            </w:r>
            <w:r w:rsidR="00F24817">
              <w:rPr>
                <w:noProof/>
                <w:webHidden/>
              </w:rPr>
              <w:t>5</w:t>
            </w:r>
            <w:r w:rsidR="00F24817">
              <w:rPr>
                <w:noProof/>
                <w:webHidden/>
              </w:rPr>
              <w:fldChar w:fldCharType="end"/>
            </w:r>
          </w:hyperlink>
        </w:p>
        <w:p w14:paraId="41AE723E" w14:textId="0B628110" w:rsidR="00F24817" w:rsidRDefault="00030791">
          <w:pPr>
            <w:pStyle w:val="TOC1"/>
            <w:tabs>
              <w:tab w:val="left" w:pos="440"/>
              <w:tab w:val="right" w:leader="dot" w:pos="9016"/>
            </w:tabs>
            <w:rPr>
              <w:rFonts w:eastAsiaTheme="minorEastAsia"/>
              <w:noProof/>
              <w:lang w:eastAsia="en-IN"/>
            </w:rPr>
          </w:pPr>
          <w:hyperlink w:anchor="_Toc85106181" w:history="1">
            <w:r w:rsidR="00F24817" w:rsidRPr="00231828">
              <w:rPr>
                <w:rStyle w:val="Hyperlink"/>
                <w:rFonts w:cstheme="minorHAnsi"/>
                <w:noProof/>
              </w:rPr>
              <w:t>3</w:t>
            </w:r>
            <w:r w:rsidR="00F24817">
              <w:rPr>
                <w:rFonts w:eastAsiaTheme="minorEastAsia"/>
                <w:noProof/>
                <w:lang w:eastAsia="en-IN"/>
              </w:rPr>
              <w:tab/>
            </w:r>
            <w:r w:rsidR="00F24817" w:rsidRPr="00231828">
              <w:rPr>
                <w:rStyle w:val="Hyperlink"/>
                <w:rFonts w:cstheme="minorHAnsi"/>
                <w:noProof/>
              </w:rPr>
              <w:t>HEALTH IMPACT CALCULATIONS</w:t>
            </w:r>
            <w:r w:rsidR="00F24817">
              <w:rPr>
                <w:noProof/>
                <w:webHidden/>
              </w:rPr>
              <w:tab/>
            </w:r>
            <w:r w:rsidR="00F24817">
              <w:rPr>
                <w:noProof/>
                <w:webHidden/>
              </w:rPr>
              <w:fldChar w:fldCharType="begin"/>
            </w:r>
            <w:r w:rsidR="00F24817">
              <w:rPr>
                <w:noProof/>
                <w:webHidden/>
              </w:rPr>
              <w:instrText xml:space="preserve"> PAGEREF _Toc85106181 \h </w:instrText>
            </w:r>
            <w:r w:rsidR="00F24817">
              <w:rPr>
                <w:noProof/>
                <w:webHidden/>
              </w:rPr>
            </w:r>
            <w:r w:rsidR="00F24817">
              <w:rPr>
                <w:noProof/>
                <w:webHidden/>
              </w:rPr>
              <w:fldChar w:fldCharType="separate"/>
            </w:r>
            <w:r w:rsidR="00F24817">
              <w:rPr>
                <w:noProof/>
                <w:webHidden/>
              </w:rPr>
              <w:t>7</w:t>
            </w:r>
            <w:r w:rsidR="00F24817">
              <w:rPr>
                <w:noProof/>
                <w:webHidden/>
              </w:rPr>
              <w:fldChar w:fldCharType="end"/>
            </w:r>
          </w:hyperlink>
        </w:p>
        <w:p w14:paraId="5C618A8A" w14:textId="5FBCFB22" w:rsidR="00F24817" w:rsidRDefault="00030791">
          <w:pPr>
            <w:pStyle w:val="TOC2"/>
            <w:tabs>
              <w:tab w:val="left" w:pos="880"/>
              <w:tab w:val="right" w:leader="dot" w:pos="9016"/>
            </w:tabs>
            <w:rPr>
              <w:rFonts w:eastAsiaTheme="minorEastAsia"/>
              <w:noProof/>
              <w:lang w:eastAsia="en-IN"/>
            </w:rPr>
          </w:pPr>
          <w:hyperlink w:anchor="_Toc85106182" w:history="1">
            <w:r w:rsidR="00F24817" w:rsidRPr="00231828">
              <w:rPr>
                <w:rStyle w:val="Hyperlink"/>
                <w:rFonts w:cstheme="minorHAnsi"/>
                <w:noProof/>
              </w:rPr>
              <w:t>3.1</w:t>
            </w:r>
            <w:r w:rsidR="00F24817">
              <w:rPr>
                <w:rFonts w:eastAsiaTheme="minorEastAsia"/>
                <w:noProof/>
                <w:lang w:eastAsia="en-IN"/>
              </w:rPr>
              <w:tab/>
            </w:r>
            <w:r w:rsidR="00F24817" w:rsidRPr="00231828">
              <w:rPr>
                <w:rStyle w:val="Hyperlink"/>
                <w:rFonts w:cstheme="minorHAnsi"/>
                <w:noProof/>
              </w:rPr>
              <w:t>Health Impact Estimates</w:t>
            </w:r>
            <w:r w:rsidR="00F24817">
              <w:rPr>
                <w:noProof/>
                <w:webHidden/>
              </w:rPr>
              <w:tab/>
            </w:r>
            <w:r w:rsidR="00F24817">
              <w:rPr>
                <w:noProof/>
                <w:webHidden/>
              </w:rPr>
              <w:fldChar w:fldCharType="begin"/>
            </w:r>
            <w:r w:rsidR="00F24817">
              <w:rPr>
                <w:noProof/>
                <w:webHidden/>
              </w:rPr>
              <w:instrText xml:space="preserve"> PAGEREF _Toc85106182 \h </w:instrText>
            </w:r>
            <w:r w:rsidR="00F24817">
              <w:rPr>
                <w:noProof/>
                <w:webHidden/>
              </w:rPr>
            </w:r>
            <w:r w:rsidR="00F24817">
              <w:rPr>
                <w:noProof/>
                <w:webHidden/>
              </w:rPr>
              <w:fldChar w:fldCharType="separate"/>
            </w:r>
            <w:r w:rsidR="00F24817">
              <w:rPr>
                <w:noProof/>
                <w:webHidden/>
              </w:rPr>
              <w:t>7</w:t>
            </w:r>
            <w:r w:rsidR="00F24817">
              <w:rPr>
                <w:noProof/>
                <w:webHidden/>
              </w:rPr>
              <w:fldChar w:fldCharType="end"/>
            </w:r>
          </w:hyperlink>
        </w:p>
        <w:p w14:paraId="250CBE0E" w14:textId="197713ED" w:rsidR="00F24817" w:rsidRDefault="00030791">
          <w:pPr>
            <w:pStyle w:val="TOC2"/>
            <w:tabs>
              <w:tab w:val="left" w:pos="880"/>
              <w:tab w:val="right" w:leader="dot" w:pos="9016"/>
            </w:tabs>
            <w:rPr>
              <w:rFonts w:eastAsiaTheme="minorEastAsia"/>
              <w:noProof/>
              <w:lang w:eastAsia="en-IN"/>
            </w:rPr>
          </w:pPr>
          <w:hyperlink w:anchor="_Toc85106183" w:history="1">
            <w:r w:rsidR="00F24817" w:rsidRPr="00231828">
              <w:rPr>
                <w:rStyle w:val="Hyperlink"/>
                <w:rFonts w:cstheme="minorHAnsi"/>
                <w:noProof/>
              </w:rPr>
              <w:t>3.2</w:t>
            </w:r>
            <w:r w:rsidR="00F24817">
              <w:rPr>
                <w:rFonts w:eastAsiaTheme="minorEastAsia"/>
                <w:noProof/>
                <w:lang w:eastAsia="en-IN"/>
              </w:rPr>
              <w:tab/>
            </w:r>
            <w:r w:rsidR="00F24817" w:rsidRPr="00231828">
              <w:rPr>
                <w:rStyle w:val="Hyperlink"/>
                <w:rFonts w:cstheme="minorHAnsi"/>
                <w:noProof/>
              </w:rPr>
              <w:t>Health impacts of PM2.5 pollution</w:t>
            </w:r>
            <w:r w:rsidR="00F24817">
              <w:rPr>
                <w:noProof/>
                <w:webHidden/>
              </w:rPr>
              <w:tab/>
            </w:r>
            <w:r w:rsidR="00F24817">
              <w:rPr>
                <w:noProof/>
                <w:webHidden/>
              </w:rPr>
              <w:fldChar w:fldCharType="begin"/>
            </w:r>
            <w:r w:rsidR="00F24817">
              <w:rPr>
                <w:noProof/>
                <w:webHidden/>
              </w:rPr>
              <w:instrText xml:space="preserve"> PAGEREF _Toc85106183 \h </w:instrText>
            </w:r>
            <w:r w:rsidR="00F24817">
              <w:rPr>
                <w:noProof/>
                <w:webHidden/>
              </w:rPr>
            </w:r>
            <w:r w:rsidR="00F24817">
              <w:rPr>
                <w:noProof/>
                <w:webHidden/>
              </w:rPr>
              <w:fldChar w:fldCharType="separate"/>
            </w:r>
            <w:r w:rsidR="00F24817">
              <w:rPr>
                <w:noProof/>
                <w:webHidden/>
              </w:rPr>
              <w:t>7</w:t>
            </w:r>
            <w:r w:rsidR="00F24817">
              <w:rPr>
                <w:noProof/>
                <w:webHidden/>
              </w:rPr>
              <w:fldChar w:fldCharType="end"/>
            </w:r>
          </w:hyperlink>
        </w:p>
        <w:p w14:paraId="74E3E477" w14:textId="5F1520BF" w:rsidR="00F24817" w:rsidRDefault="00030791">
          <w:pPr>
            <w:pStyle w:val="TOC2"/>
            <w:tabs>
              <w:tab w:val="left" w:pos="880"/>
              <w:tab w:val="right" w:leader="dot" w:pos="9016"/>
            </w:tabs>
            <w:rPr>
              <w:rFonts w:eastAsiaTheme="minorEastAsia"/>
              <w:noProof/>
              <w:lang w:eastAsia="en-IN"/>
            </w:rPr>
          </w:pPr>
          <w:hyperlink w:anchor="_Toc85106184" w:history="1">
            <w:r w:rsidR="00F24817" w:rsidRPr="00231828">
              <w:rPr>
                <w:rStyle w:val="Hyperlink"/>
                <w:rFonts w:cstheme="minorHAnsi"/>
                <w:noProof/>
              </w:rPr>
              <w:t>3.3</w:t>
            </w:r>
            <w:r w:rsidR="00F24817">
              <w:rPr>
                <w:rFonts w:eastAsiaTheme="minorEastAsia"/>
                <w:noProof/>
                <w:lang w:eastAsia="en-IN"/>
              </w:rPr>
              <w:tab/>
            </w:r>
            <w:r w:rsidR="00F24817" w:rsidRPr="00231828">
              <w:rPr>
                <w:rStyle w:val="Hyperlink"/>
                <w:rFonts w:cstheme="minorHAnsi"/>
                <w:noProof/>
              </w:rPr>
              <w:t>Health impacts of travel physical activity</w:t>
            </w:r>
            <w:r w:rsidR="00F24817">
              <w:rPr>
                <w:noProof/>
                <w:webHidden/>
              </w:rPr>
              <w:tab/>
            </w:r>
            <w:r w:rsidR="00F24817">
              <w:rPr>
                <w:noProof/>
                <w:webHidden/>
              </w:rPr>
              <w:fldChar w:fldCharType="begin"/>
            </w:r>
            <w:r w:rsidR="00F24817">
              <w:rPr>
                <w:noProof/>
                <w:webHidden/>
              </w:rPr>
              <w:instrText xml:space="preserve"> PAGEREF _Toc85106184 \h </w:instrText>
            </w:r>
            <w:r w:rsidR="00F24817">
              <w:rPr>
                <w:noProof/>
                <w:webHidden/>
              </w:rPr>
            </w:r>
            <w:r w:rsidR="00F24817">
              <w:rPr>
                <w:noProof/>
                <w:webHidden/>
              </w:rPr>
              <w:fldChar w:fldCharType="separate"/>
            </w:r>
            <w:r w:rsidR="00F24817">
              <w:rPr>
                <w:noProof/>
                <w:webHidden/>
              </w:rPr>
              <w:t>8</w:t>
            </w:r>
            <w:r w:rsidR="00F24817">
              <w:rPr>
                <w:noProof/>
                <w:webHidden/>
              </w:rPr>
              <w:fldChar w:fldCharType="end"/>
            </w:r>
          </w:hyperlink>
        </w:p>
        <w:p w14:paraId="65C0B113" w14:textId="33AE5E32" w:rsidR="00F24817" w:rsidRDefault="00030791">
          <w:pPr>
            <w:pStyle w:val="TOC2"/>
            <w:tabs>
              <w:tab w:val="left" w:pos="880"/>
              <w:tab w:val="right" w:leader="dot" w:pos="9016"/>
            </w:tabs>
            <w:rPr>
              <w:rFonts w:eastAsiaTheme="minorEastAsia"/>
              <w:noProof/>
              <w:lang w:eastAsia="en-IN"/>
            </w:rPr>
          </w:pPr>
          <w:hyperlink w:anchor="_Toc85106185" w:history="1">
            <w:r w:rsidR="00F24817" w:rsidRPr="00231828">
              <w:rPr>
                <w:rStyle w:val="Hyperlink"/>
                <w:rFonts w:cstheme="minorHAnsi"/>
                <w:noProof/>
              </w:rPr>
              <w:t>3.4</w:t>
            </w:r>
            <w:r w:rsidR="00F24817">
              <w:rPr>
                <w:rFonts w:eastAsiaTheme="minorEastAsia"/>
                <w:noProof/>
                <w:lang w:eastAsia="en-IN"/>
              </w:rPr>
              <w:tab/>
            </w:r>
            <w:r w:rsidR="00F24817" w:rsidRPr="00231828">
              <w:rPr>
                <w:rStyle w:val="Hyperlink"/>
                <w:rFonts w:cstheme="minorHAnsi"/>
                <w:noProof/>
              </w:rPr>
              <w:t>Integrated Injury and Physical Activity Model</w:t>
            </w:r>
            <w:r w:rsidR="00F24817">
              <w:rPr>
                <w:noProof/>
                <w:webHidden/>
              </w:rPr>
              <w:tab/>
            </w:r>
            <w:r w:rsidR="00F24817">
              <w:rPr>
                <w:noProof/>
                <w:webHidden/>
              </w:rPr>
              <w:fldChar w:fldCharType="begin"/>
            </w:r>
            <w:r w:rsidR="00F24817">
              <w:rPr>
                <w:noProof/>
                <w:webHidden/>
              </w:rPr>
              <w:instrText xml:space="preserve"> PAGEREF _Toc85106185 \h </w:instrText>
            </w:r>
            <w:r w:rsidR="00F24817">
              <w:rPr>
                <w:noProof/>
                <w:webHidden/>
              </w:rPr>
            </w:r>
            <w:r w:rsidR="00F24817">
              <w:rPr>
                <w:noProof/>
                <w:webHidden/>
              </w:rPr>
              <w:fldChar w:fldCharType="separate"/>
            </w:r>
            <w:r w:rsidR="00F24817">
              <w:rPr>
                <w:noProof/>
                <w:webHidden/>
              </w:rPr>
              <w:t>9</w:t>
            </w:r>
            <w:r w:rsidR="00F24817">
              <w:rPr>
                <w:noProof/>
                <w:webHidden/>
              </w:rPr>
              <w:fldChar w:fldCharType="end"/>
            </w:r>
          </w:hyperlink>
        </w:p>
        <w:p w14:paraId="2C560BE2" w14:textId="7E54477C" w:rsidR="00F24817" w:rsidRDefault="00030791">
          <w:pPr>
            <w:pStyle w:val="TOC2"/>
            <w:tabs>
              <w:tab w:val="left" w:pos="880"/>
              <w:tab w:val="right" w:leader="dot" w:pos="9016"/>
            </w:tabs>
            <w:rPr>
              <w:rFonts w:eastAsiaTheme="minorEastAsia"/>
              <w:noProof/>
              <w:lang w:eastAsia="en-IN"/>
            </w:rPr>
          </w:pPr>
          <w:hyperlink w:anchor="_Toc85106186" w:history="1">
            <w:r w:rsidR="00F24817" w:rsidRPr="00231828">
              <w:rPr>
                <w:rStyle w:val="Hyperlink"/>
                <w:rFonts w:cstheme="minorHAnsi"/>
                <w:noProof/>
              </w:rPr>
              <w:t>3.5</w:t>
            </w:r>
            <w:r w:rsidR="00F24817">
              <w:rPr>
                <w:rFonts w:eastAsiaTheme="minorEastAsia"/>
                <w:noProof/>
                <w:lang w:eastAsia="en-IN"/>
              </w:rPr>
              <w:tab/>
            </w:r>
            <w:r w:rsidR="00F24817" w:rsidRPr="00231828">
              <w:rPr>
                <w:rStyle w:val="Hyperlink"/>
                <w:rFonts w:cstheme="minorHAnsi"/>
                <w:noProof/>
              </w:rPr>
              <w:t>PM</w:t>
            </w:r>
            <w:r w:rsidR="00F24817" w:rsidRPr="00231828">
              <w:rPr>
                <w:rStyle w:val="Hyperlink"/>
                <w:rFonts w:cstheme="minorHAnsi"/>
                <w:noProof/>
                <w:vertAlign w:val="subscript"/>
              </w:rPr>
              <w:t>2.5</w:t>
            </w:r>
            <w:r w:rsidR="00F24817" w:rsidRPr="00231828">
              <w:rPr>
                <w:rStyle w:val="Hyperlink"/>
                <w:rFonts w:cstheme="minorHAnsi"/>
                <w:noProof/>
              </w:rPr>
              <w:t xml:space="preserve"> Dispersion Modelling</w:t>
            </w:r>
            <w:r w:rsidR="00F24817">
              <w:rPr>
                <w:noProof/>
                <w:webHidden/>
              </w:rPr>
              <w:tab/>
            </w:r>
            <w:r w:rsidR="00F24817">
              <w:rPr>
                <w:noProof/>
                <w:webHidden/>
              </w:rPr>
              <w:fldChar w:fldCharType="begin"/>
            </w:r>
            <w:r w:rsidR="00F24817">
              <w:rPr>
                <w:noProof/>
                <w:webHidden/>
              </w:rPr>
              <w:instrText xml:space="preserve"> PAGEREF _Toc85106186 \h </w:instrText>
            </w:r>
            <w:r w:rsidR="00F24817">
              <w:rPr>
                <w:noProof/>
                <w:webHidden/>
              </w:rPr>
            </w:r>
            <w:r w:rsidR="00F24817">
              <w:rPr>
                <w:noProof/>
                <w:webHidden/>
              </w:rPr>
              <w:fldChar w:fldCharType="separate"/>
            </w:r>
            <w:r w:rsidR="00F24817">
              <w:rPr>
                <w:noProof/>
                <w:webHidden/>
              </w:rPr>
              <w:t>14</w:t>
            </w:r>
            <w:r w:rsidR="00F24817">
              <w:rPr>
                <w:noProof/>
                <w:webHidden/>
              </w:rPr>
              <w:fldChar w:fldCharType="end"/>
            </w:r>
          </w:hyperlink>
        </w:p>
        <w:p w14:paraId="7C1298BE" w14:textId="77C84D51" w:rsidR="00F24817" w:rsidRDefault="00030791">
          <w:pPr>
            <w:pStyle w:val="TOC3"/>
            <w:tabs>
              <w:tab w:val="left" w:pos="1320"/>
              <w:tab w:val="right" w:leader="dot" w:pos="9016"/>
            </w:tabs>
            <w:rPr>
              <w:rFonts w:eastAsiaTheme="minorEastAsia"/>
              <w:noProof/>
              <w:lang w:eastAsia="en-IN"/>
            </w:rPr>
          </w:pPr>
          <w:hyperlink w:anchor="_Toc85106187" w:history="1">
            <w:r w:rsidR="00F24817" w:rsidRPr="00231828">
              <w:rPr>
                <w:rStyle w:val="Hyperlink"/>
                <w:rFonts w:cstheme="minorHAnsi"/>
                <w:noProof/>
              </w:rPr>
              <w:t>3.5.1</w:t>
            </w:r>
            <w:r w:rsidR="00F24817">
              <w:rPr>
                <w:rFonts w:eastAsiaTheme="minorEastAsia"/>
                <w:noProof/>
                <w:lang w:eastAsia="en-IN"/>
              </w:rPr>
              <w:tab/>
            </w:r>
            <w:r w:rsidR="00F24817" w:rsidRPr="00231828">
              <w:rPr>
                <w:rStyle w:val="Hyperlink"/>
                <w:rFonts w:cstheme="minorHAnsi"/>
                <w:noProof/>
              </w:rPr>
              <w:t>Multi-Pollutant Emission Inventory</w:t>
            </w:r>
            <w:r w:rsidR="00F24817">
              <w:rPr>
                <w:noProof/>
                <w:webHidden/>
              </w:rPr>
              <w:tab/>
            </w:r>
            <w:r w:rsidR="00F24817">
              <w:rPr>
                <w:noProof/>
                <w:webHidden/>
              </w:rPr>
              <w:fldChar w:fldCharType="begin"/>
            </w:r>
            <w:r w:rsidR="00F24817">
              <w:rPr>
                <w:noProof/>
                <w:webHidden/>
              </w:rPr>
              <w:instrText xml:space="preserve"> PAGEREF _Toc85106187 \h </w:instrText>
            </w:r>
            <w:r w:rsidR="00F24817">
              <w:rPr>
                <w:noProof/>
                <w:webHidden/>
              </w:rPr>
            </w:r>
            <w:r w:rsidR="00F24817">
              <w:rPr>
                <w:noProof/>
                <w:webHidden/>
              </w:rPr>
              <w:fldChar w:fldCharType="separate"/>
            </w:r>
            <w:r w:rsidR="00F24817">
              <w:rPr>
                <w:noProof/>
                <w:webHidden/>
              </w:rPr>
              <w:t>17</w:t>
            </w:r>
            <w:r w:rsidR="00F24817">
              <w:rPr>
                <w:noProof/>
                <w:webHidden/>
              </w:rPr>
              <w:fldChar w:fldCharType="end"/>
            </w:r>
          </w:hyperlink>
        </w:p>
        <w:p w14:paraId="707AA157" w14:textId="2DC37E01" w:rsidR="00F24817" w:rsidRDefault="00030791">
          <w:pPr>
            <w:pStyle w:val="TOC3"/>
            <w:tabs>
              <w:tab w:val="left" w:pos="1320"/>
              <w:tab w:val="right" w:leader="dot" w:pos="9016"/>
            </w:tabs>
            <w:rPr>
              <w:rFonts w:eastAsiaTheme="minorEastAsia"/>
              <w:noProof/>
              <w:lang w:eastAsia="en-IN"/>
            </w:rPr>
          </w:pPr>
          <w:hyperlink w:anchor="_Toc85106188" w:history="1">
            <w:r w:rsidR="00F24817" w:rsidRPr="00231828">
              <w:rPr>
                <w:rStyle w:val="Hyperlink"/>
                <w:rFonts w:cstheme="minorHAnsi"/>
                <w:noProof/>
              </w:rPr>
              <w:t>3.5.2</w:t>
            </w:r>
            <w:r w:rsidR="00F24817">
              <w:rPr>
                <w:rFonts w:eastAsiaTheme="minorEastAsia"/>
                <w:noProof/>
                <w:lang w:eastAsia="en-IN"/>
              </w:rPr>
              <w:tab/>
            </w:r>
            <w:r w:rsidR="00F24817" w:rsidRPr="00231828">
              <w:rPr>
                <w:rStyle w:val="Hyperlink"/>
                <w:rFonts w:cstheme="minorHAnsi"/>
                <w:noProof/>
              </w:rPr>
              <w:t>Spatial Distribution and Sector-specific Shares of PM</w:t>
            </w:r>
            <w:r w:rsidR="00F24817" w:rsidRPr="00231828">
              <w:rPr>
                <w:rStyle w:val="Hyperlink"/>
                <w:rFonts w:cstheme="minorHAnsi"/>
                <w:noProof/>
                <w:vertAlign w:val="subscript"/>
              </w:rPr>
              <w:t>2.5</w:t>
            </w:r>
            <w:r w:rsidR="00F24817" w:rsidRPr="00231828">
              <w:rPr>
                <w:rStyle w:val="Hyperlink"/>
                <w:rFonts w:cstheme="minorHAnsi"/>
                <w:noProof/>
              </w:rPr>
              <w:t xml:space="preserve"> Concentrations</w:t>
            </w:r>
            <w:r w:rsidR="00F24817">
              <w:rPr>
                <w:noProof/>
                <w:webHidden/>
              </w:rPr>
              <w:tab/>
            </w:r>
            <w:r w:rsidR="00F24817">
              <w:rPr>
                <w:noProof/>
                <w:webHidden/>
              </w:rPr>
              <w:fldChar w:fldCharType="begin"/>
            </w:r>
            <w:r w:rsidR="00F24817">
              <w:rPr>
                <w:noProof/>
                <w:webHidden/>
              </w:rPr>
              <w:instrText xml:space="preserve"> PAGEREF _Toc85106188 \h </w:instrText>
            </w:r>
            <w:r w:rsidR="00F24817">
              <w:rPr>
                <w:noProof/>
                <w:webHidden/>
              </w:rPr>
            </w:r>
            <w:r w:rsidR="00F24817">
              <w:rPr>
                <w:noProof/>
                <w:webHidden/>
              </w:rPr>
              <w:fldChar w:fldCharType="separate"/>
            </w:r>
            <w:r w:rsidR="00F24817">
              <w:rPr>
                <w:noProof/>
                <w:webHidden/>
              </w:rPr>
              <w:t>19</w:t>
            </w:r>
            <w:r w:rsidR="00F24817">
              <w:rPr>
                <w:noProof/>
                <w:webHidden/>
              </w:rPr>
              <w:fldChar w:fldCharType="end"/>
            </w:r>
          </w:hyperlink>
        </w:p>
        <w:p w14:paraId="2B8C6B3C" w14:textId="625115E2" w:rsidR="00F24817" w:rsidRDefault="00030791">
          <w:pPr>
            <w:pStyle w:val="TOC1"/>
            <w:tabs>
              <w:tab w:val="left" w:pos="440"/>
              <w:tab w:val="right" w:leader="dot" w:pos="9016"/>
            </w:tabs>
            <w:rPr>
              <w:rFonts w:eastAsiaTheme="minorEastAsia"/>
              <w:noProof/>
              <w:lang w:eastAsia="en-IN"/>
            </w:rPr>
          </w:pPr>
          <w:hyperlink w:anchor="_Toc85106189" w:history="1">
            <w:r w:rsidR="00F24817" w:rsidRPr="00231828">
              <w:rPr>
                <w:rStyle w:val="Hyperlink"/>
                <w:rFonts w:cstheme="minorHAnsi"/>
                <w:noProof/>
              </w:rPr>
              <w:t>4</w:t>
            </w:r>
            <w:r w:rsidR="00F24817">
              <w:rPr>
                <w:rFonts w:eastAsiaTheme="minorEastAsia"/>
                <w:noProof/>
                <w:lang w:eastAsia="en-IN"/>
              </w:rPr>
              <w:tab/>
            </w:r>
            <w:r w:rsidR="00F24817" w:rsidRPr="00231828">
              <w:rPr>
                <w:rStyle w:val="Hyperlink"/>
                <w:rFonts w:cstheme="minorHAnsi"/>
                <w:noProof/>
              </w:rPr>
              <w:t>UNCERTAINTY ANALYSIS OF HEALTH BURDEN ESTIMATES</w:t>
            </w:r>
            <w:r w:rsidR="00F24817">
              <w:rPr>
                <w:noProof/>
                <w:webHidden/>
              </w:rPr>
              <w:tab/>
            </w:r>
            <w:r w:rsidR="00F24817">
              <w:rPr>
                <w:noProof/>
                <w:webHidden/>
              </w:rPr>
              <w:fldChar w:fldCharType="begin"/>
            </w:r>
            <w:r w:rsidR="00F24817">
              <w:rPr>
                <w:noProof/>
                <w:webHidden/>
              </w:rPr>
              <w:instrText xml:space="preserve"> PAGEREF _Toc85106189 \h </w:instrText>
            </w:r>
            <w:r w:rsidR="00F24817">
              <w:rPr>
                <w:noProof/>
                <w:webHidden/>
              </w:rPr>
            </w:r>
            <w:r w:rsidR="00F24817">
              <w:rPr>
                <w:noProof/>
                <w:webHidden/>
              </w:rPr>
              <w:fldChar w:fldCharType="separate"/>
            </w:r>
            <w:r w:rsidR="00F24817">
              <w:rPr>
                <w:noProof/>
                <w:webHidden/>
              </w:rPr>
              <w:t>22</w:t>
            </w:r>
            <w:r w:rsidR="00F24817">
              <w:rPr>
                <w:noProof/>
                <w:webHidden/>
              </w:rPr>
              <w:fldChar w:fldCharType="end"/>
            </w:r>
          </w:hyperlink>
        </w:p>
        <w:p w14:paraId="7A993344" w14:textId="44FAB48A" w:rsidR="007B6E2E" w:rsidRPr="00A40217" w:rsidRDefault="007B6E2E">
          <w:pPr>
            <w:rPr>
              <w:rFonts w:cstheme="minorHAnsi"/>
            </w:rPr>
          </w:pPr>
          <w:r w:rsidRPr="00A40217">
            <w:rPr>
              <w:rFonts w:cstheme="minorHAnsi"/>
              <w:b/>
              <w:bCs/>
              <w:noProof/>
            </w:rPr>
            <w:fldChar w:fldCharType="end"/>
          </w:r>
        </w:p>
      </w:sdtContent>
    </w:sdt>
    <w:p w14:paraId="174FF981" w14:textId="7A8DFBEE" w:rsidR="00C315E8" w:rsidRPr="00A40217" w:rsidRDefault="007B6E2E" w:rsidP="00C315E8">
      <w:pPr>
        <w:pStyle w:val="Heading1"/>
        <w:spacing w:after="0"/>
        <w:rPr>
          <w:rFonts w:asciiTheme="minorHAnsi" w:hAnsiTheme="minorHAnsi" w:cstheme="minorHAnsi"/>
        </w:rPr>
      </w:pPr>
      <w:bookmarkStart w:id="1" w:name="_Toc85106179"/>
      <w:r w:rsidRPr="00A40217">
        <w:rPr>
          <w:rFonts w:asciiTheme="minorHAnsi" w:hAnsiTheme="minorHAnsi" w:cstheme="minorHAnsi"/>
          <w:caps w:val="0"/>
        </w:rPr>
        <w:t>HOUSEHOLD TRAVEL SURVEY</w:t>
      </w:r>
      <w:bookmarkEnd w:id="1"/>
    </w:p>
    <w:p w14:paraId="5A047C50" w14:textId="5ADA0026" w:rsidR="00C315E8" w:rsidRPr="00A40217" w:rsidRDefault="00C315E8" w:rsidP="00C315E8">
      <w:pPr>
        <w:spacing w:after="0"/>
        <w:rPr>
          <w:rFonts w:cstheme="minorHAnsi"/>
        </w:rPr>
      </w:pPr>
      <w:r w:rsidRPr="00A40217">
        <w:rPr>
          <w:rFonts w:cstheme="minorHAnsi"/>
        </w:rPr>
        <w:t xml:space="preserve">A travel-diary door-to-door survey of a sample of households in Delhi was conducted from February through August 2013. The survey was conducted as a part of this dissertation work, and the design of survey questionnaire, development of sampling strategy, training and coordination of survey team, phone calls to households to confirm legibility of completed questionnaires as well as to ascertain missing or confusing data, and cleaning of datasets were carried out solely by the author. For carrying out surveys in the sampled households, a team of private marketing agency was hired and trained by the author through mock surveys within the institute as well as trial surveys at the sampled localities, and </w:t>
      </w:r>
      <w:proofErr w:type="gramStart"/>
      <w:r w:rsidRPr="00A40217">
        <w:rPr>
          <w:rFonts w:cstheme="minorHAnsi"/>
        </w:rPr>
        <w:t>each individual</w:t>
      </w:r>
      <w:proofErr w:type="gramEnd"/>
      <w:r w:rsidRPr="00A40217">
        <w:rPr>
          <w:rFonts w:cstheme="minorHAnsi"/>
        </w:rPr>
        <w:t xml:space="preserve"> in the team was trained separately. During the surveys, the team was coordinated by a team leader from the hired agency and by the author. The survey was conducted in Hindi language which is the local language of Delhi. </w:t>
      </w:r>
    </w:p>
    <w:p w14:paraId="79220178" w14:textId="77777777" w:rsidR="00C315E8" w:rsidRPr="00A40217" w:rsidRDefault="00C315E8" w:rsidP="00C315E8">
      <w:pPr>
        <w:keepNext/>
        <w:spacing w:after="0"/>
        <w:jc w:val="center"/>
        <w:rPr>
          <w:rFonts w:cstheme="minorHAnsi"/>
        </w:rPr>
      </w:pPr>
      <w:r w:rsidRPr="00A40217">
        <w:rPr>
          <w:rFonts w:cstheme="minorHAnsi"/>
          <w:b/>
          <w:noProof/>
          <w:lang w:val="en-GB" w:eastAsia="en-GB"/>
        </w:rPr>
        <w:lastRenderedPageBreak/>
        <w:drawing>
          <wp:inline distT="0" distB="0" distL="0" distR="0" wp14:anchorId="0E6755BD" wp14:editId="2D50FEF7">
            <wp:extent cx="4009207" cy="3097474"/>
            <wp:effectExtent l="0" t="0" r="0" b="8255"/>
            <wp:docPr id="7" name="Picture 7" descr="D:\0 Work\PhD@IITD\Sampling Strategy HH Survey Delhi\Trip Length Paper\Delhi Wards Population Density Distribution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 Work\PhD@IITD\Sampling Strategy HH Survey Delhi\Trip Length Paper\Delhi Wards Population Density Distribution Map.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28062" cy="3112041"/>
                    </a:xfrm>
                    <a:prstGeom prst="rect">
                      <a:avLst/>
                    </a:prstGeom>
                    <a:noFill/>
                    <a:ln>
                      <a:noFill/>
                    </a:ln>
                  </pic:spPr>
                </pic:pic>
              </a:graphicData>
            </a:graphic>
          </wp:inline>
        </w:drawing>
      </w:r>
    </w:p>
    <w:p w14:paraId="289F54D4" w14:textId="2CC455BE" w:rsidR="00C315E8" w:rsidRPr="00A40217" w:rsidRDefault="00C315E8" w:rsidP="00C315E8">
      <w:pPr>
        <w:pStyle w:val="Caption"/>
        <w:jc w:val="center"/>
        <w:rPr>
          <w:rFonts w:asciiTheme="minorHAnsi" w:hAnsiTheme="minorHAnsi" w:cstheme="minorHAnsi"/>
        </w:rPr>
      </w:pPr>
      <w:bookmarkStart w:id="2" w:name="_Ref426447863"/>
      <w:bookmarkStart w:id="3" w:name="_Ref426447859"/>
      <w:bookmarkStart w:id="4" w:name="_Toc476818679"/>
      <w:r w:rsidRPr="00A40217">
        <w:rPr>
          <w:rFonts w:asciiTheme="minorHAnsi" w:hAnsiTheme="minorHAnsi" w:cstheme="minorHAnsi"/>
        </w:rPr>
        <w:t xml:space="preserve">Figure </w:t>
      </w:r>
      <w:bookmarkEnd w:id="2"/>
      <w:r w:rsidR="00836C5D" w:rsidRPr="00A40217">
        <w:rPr>
          <w:rFonts w:asciiTheme="minorHAnsi" w:hAnsiTheme="minorHAnsi" w:cstheme="minorHAnsi"/>
        </w:rPr>
        <w:t>1</w:t>
      </w:r>
      <w:r w:rsidRPr="00A40217">
        <w:rPr>
          <w:rFonts w:asciiTheme="minorHAnsi" w:hAnsiTheme="minorHAnsi" w:cstheme="minorHAnsi"/>
        </w:rPr>
        <w:t>: Ward-level population density in Delhi</w:t>
      </w:r>
      <w:bookmarkEnd w:id="3"/>
      <w:bookmarkEnd w:id="4"/>
    </w:p>
    <w:p w14:paraId="038602CA" w14:textId="31542BCA" w:rsidR="00C315E8" w:rsidRPr="00A40217" w:rsidRDefault="00C315E8" w:rsidP="00C315E8">
      <w:pPr>
        <w:spacing w:after="0"/>
        <w:rPr>
          <w:rFonts w:cstheme="minorHAnsi"/>
        </w:rPr>
      </w:pPr>
      <w:r w:rsidRPr="00A40217">
        <w:rPr>
          <w:rFonts w:cstheme="minorHAnsi"/>
        </w:rPr>
        <w:t>To sample households, two-stage stratified random sampling was used. In the absence of any sampling frame, city was divided into equal size grids which were then sampled in the first state. To create grids, Google Earth (GE) imagery of Delhi was used to identify built-up area for 2012. The total identified built-up area is approximately 623 km</w:t>
      </w:r>
      <w:r w:rsidRPr="00A40217">
        <w:rPr>
          <w:rFonts w:cstheme="minorHAnsi"/>
          <w:vertAlign w:val="superscript"/>
        </w:rPr>
        <w:t>2</w:t>
      </w:r>
      <w:r w:rsidRPr="00A40217">
        <w:rPr>
          <w:rFonts w:cstheme="minorHAnsi"/>
        </w:rPr>
        <w:t>, which is less than half of the area within the official boundary of Delhi (1483 km</w:t>
      </w:r>
      <w:r w:rsidRPr="00A40217">
        <w:rPr>
          <w:rFonts w:cstheme="minorHAnsi"/>
          <w:vertAlign w:val="superscript"/>
        </w:rPr>
        <w:t>2</w:t>
      </w:r>
      <w:r w:rsidRPr="00A40217">
        <w:rPr>
          <w:rFonts w:cstheme="minorHAnsi"/>
        </w:rPr>
        <w:t>). This results in a built-up population density of 26,800 persons per km</w:t>
      </w:r>
      <w:r w:rsidRPr="00A40217">
        <w:rPr>
          <w:rFonts w:cstheme="minorHAnsi"/>
          <w:vertAlign w:val="superscript"/>
        </w:rPr>
        <w:t>2</w:t>
      </w:r>
      <w:r w:rsidRPr="00A40217">
        <w:rPr>
          <w:rFonts w:cstheme="minorHAnsi"/>
        </w:rPr>
        <w:t xml:space="preserve"> or 268</w:t>
      </w:r>
      <w:r w:rsidR="00F24817">
        <w:rPr>
          <w:rFonts w:cstheme="minorHAnsi"/>
        </w:rPr>
        <w:t xml:space="preserve"> persons per hectare</w:t>
      </w:r>
      <w:r w:rsidRPr="00A40217">
        <w:rPr>
          <w:rFonts w:cstheme="minorHAnsi"/>
        </w:rPr>
        <w:t xml:space="preserve"> </w:t>
      </w:r>
      <w:r w:rsidR="00F24817">
        <w:rPr>
          <w:rFonts w:cstheme="minorHAnsi"/>
        </w:rPr>
        <w:t>(</w:t>
      </w:r>
      <w:proofErr w:type="spellStart"/>
      <w:r w:rsidRPr="00A40217">
        <w:rPr>
          <w:rFonts w:cstheme="minorHAnsi"/>
        </w:rPr>
        <w:t>pph</w:t>
      </w:r>
      <w:proofErr w:type="spellEnd"/>
      <w:r w:rsidR="00F24817">
        <w:rPr>
          <w:rFonts w:cstheme="minorHAnsi"/>
        </w:rPr>
        <w:t>)</w:t>
      </w:r>
      <w:r w:rsidRPr="00A40217">
        <w:rPr>
          <w:rFonts w:cstheme="minorHAnsi"/>
        </w:rPr>
        <w:t>. To put this in perspective, this is much higher than other major cities in high-income countries (~5 times of London, 4 times of Paris and ~12 times of New York, Angel et al., 2010).</w:t>
      </w:r>
    </w:p>
    <w:p w14:paraId="4725B495" w14:textId="77777777" w:rsidR="00C315E8" w:rsidRPr="00A40217" w:rsidRDefault="00C315E8" w:rsidP="00C315E8">
      <w:pPr>
        <w:keepNext/>
        <w:spacing w:after="0"/>
        <w:ind w:firstLine="720"/>
        <w:jc w:val="center"/>
        <w:rPr>
          <w:rFonts w:cstheme="minorHAnsi"/>
        </w:rPr>
      </w:pPr>
      <w:r w:rsidRPr="00A40217">
        <w:rPr>
          <w:rFonts w:cstheme="minorHAnsi"/>
          <w:noProof/>
          <w:lang w:val="en-GB" w:eastAsia="en-GB"/>
        </w:rPr>
        <w:drawing>
          <wp:inline distT="0" distB="0" distL="0" distR="0" wp14:anchorId="17521244" wp14:editId="42936796">
            <wp:extent cx="4271065" cy="2962774"/>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cstate="print"/>
                    <a:srcRect l="3400" t="3571" r="3200"/>
                    <a:stretch/>
                  </pic:blipFill>
                  <pic:spPr bwMode="auto">
                    <a:xfrm>
                      <a:off x="0" y="0"/>
                      <a:ext cx="4311871" cy="2991081"/>
                    </a:xfrm>
                    <a:prstGeom prst="rect">
                      <a:avLst/>
                    </a:prstGeom>
                    <a:ln>
                      <a:noFill/>
                    </a:ln>
                    <a:extLst>
                      <a:ext uri="{53640926-AAD7-44D8-BBD7-CCE9431645EC}">
                        <a14:shadowObscured xmlns:a14="http://schemas.microsoft.com/office/drawing/2010/main"/>
                      </a:ext>
                    </a:extLst>
                  </pic:spPr>
                </pic:pic>
              </a:graphicData>
            </a:graphic>
          </wp:inline>
        </w:drawing>
      </w:r>
    </w:p>
    <w:p w14:paraId="0C8D909F" w14:textId="46AC927E" w:rsidR="00C315E8" w:rsidRPr="00A40217" w:rsidRDefault="00C315E8" w:rsidP="00C315E8">
      <w:pPr>
        <w:pStyle w:val="Caption"/>
        <w:jc w:val="center"/>
        <w:rPr>
          <w:rFonts w:asciiTheme="minorHAnsi" w:hAnsiTheme="minorHAnsi" w:cstheme="minorHAnsi"/>
        </w:rPr>
      </w:pPr>
      <w:bookmarkStart w:id="5" w:name="_Ref426448018"/>
      <w:bookmarkStart w:id="6" w:name="_Toc476818680"/>
      <w:r w:rsidRPr="00A40217">
        <w:rPr>
          <w:rFonts w:asciiTheme="minorHAnsi" w:hAnsiTheme="minorHAnsi" w:cstheme="minorHAnsi"/>
        </w:rPr>
        <w:t>Figure</w:t>
      </w:r>
      <w:bookmarkEnd w:id="5"/>
      <w:r w:rsidR="00836C5D" w:rsidRPr="00A40217">
        <w:rPr>
          <w:rFonts w:asciiTheme="minorHAnsi" w:hAnsiTheme="minorHAnsi" w:cstheme="minorHAnsi"/>
        </w:rPr>
        <w:t xml:space="preserve"> 2</w:t>
      </w:r>
      <w:r w:rsidRPr="00A40217">
        <w:rPr>
          <w:rFonts w:asciiTheme="minorHAnsi" w:hAnsiTheme="minorHAnsi" w:cstheme="minorHAnsi"/>
        </w:rPr>
        <w:t>: Property rate categories for localities in Delhi</w:t>
      </w:r>
      <w:bookmarkEnd w:id="6"/>
    </w:p>
    <w:p w14:paraId="2DF1EB18" w14:textId="77777777" w:rsidR="00C315E8" w:rsidRPr="00A40217" w:rsidRDefault="00C315E8" w:rsidP="00C315E8">
      <w:pPr>
        <w:rPr>
          <w:rFonts w:cstheme="minorHAnsi"/>
        </w:rPr>
      </w:pPr>
      <w:r w:rsidRPr="00A40217">
        <w:rPr>
          <w:rStyle w:val="Emphasis"/>
          <w:rFonts w:cstheme="minorHAnsi"/>
          <w:noProof/>
          <w:lang w:val="en-GB" w:eastAsia="en-GB"/>
        </w:rPr>
        <w:lastRenderedPageBreak/>
        <w:drawing>
          <wp:inline distT="0" distB="0" distL="0" distR="0" wp14:anchorId="2BF9B7C4" wp14:editId="260B9E9D">
            <wp:extent cx="5943600" cy="2562860"/>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5943600" cy="2562860"/>
                    </a:xfrm>
                    <a:prstGeom prst="rect">
                      <a:avLst/>
                    </a:prstGeom>
                  </pic:spPr>
                </pic:pic>
              </a:graphicData>
            </a:graphic>
          </wp:inline>
        </w:drawing>
      </w:r>
    </w:p>
    <w:p w14:paraId="34D4CE90" w14:textId="6364448F" w:rsidR="00C315E8" w:rsidRPr="00A40217" w:rsidRDefault="00C315E8" w:rsidP="00C315E8">
      <w:pPr>
        <w:pStyle w:val="Caption"/>
        <w:rPr>
          <w:rFonts w:asciiTheme="minorHAnsi" w:hAnsiTheme="minorHAnsi" w:cstheme="minorHAnsi"/>
        </w:rPr>
      </w:pPr>
      <w:bookmarkStart w:id="7" w:name="_Ref426448279"/>
      <w:bookmarkStart w:id="8" w:name="_Toc476818681"/>
      <w:r w:rsidRPr="00A40217">
        <w:rPr>
          <w:rFonts w:asciiTheme="minorHAnsi" w:hAnsiTheme="minorHAnsi" w:cstheme="minorHAnsi"/>
        </w:rPr>
        <w:t>Figure</w:t>
      </w:r>
      <w:bookmarkEnd w:id="7"/>
      <w:r w:rsidR="00836C5D" w:rsidRPr="00A40217">
        <w:rPr>
          <w:rFonts w:asciiTheme="minorHAnsi" w:hAnsiTheme="minorHAnsi" w:cstheme="minorHAnsi"/>
        </w:rPr>
        <w:t xml:space="preserve"> 3</w:t>
      </w:r>
      <w:r w:rsidRPr="00A40217">
        <w:rPr>
          <w:rFonts w:asciiTheme="minorHAnsi" w:hAnsiTheme="minorHAnsi" w:cstheme="minorHAnsi"/>
        </w:rPr>
        <w:t>: (a) 1km × 1km grids; (b) Area in Delhi divided into Inside Inner ring road (IRR), Between IRR and Outside Ring Road (ORR), Outside ORR, and Across River Yamuna along with sampled localities; (c) Area in Delhi divided into four quadrants – North-west, South-west, North-east and South-east</w:t>
      </w:r>
      <w:bookmarkEnd w:id="8"/>
      <w:r w:rsidRPr="00A40217">
        <w:rPr>
          <w:rFonts w:asciiTheme="minorHAnsi" w:hAnsiTheme="minorHAnsi" w:cstheme="minorHAnsi"/>
        </w:rPr>
        <w:t xml:space="preserve"> </w:t>
      </w:r>
    </w:p>
    <w:p w14:paraId="630531CB" w14:textId="06061775" w:rsidR="00C315E8" w:rsidRPr="00A40217" w:rsidRDefault="00C315E8" w:rsidP="00C315E8">
      <w:pPr>
        <w:spacing w:after="0"/>
        <w:rPr>
          <w:rFonts w:cstheme="minorHAnsi"/>
        </w:rPr>
      </w:pPr>
      <w:r w:rsidRPr="00A40217">
        <w:rPr>
          <w:rFonts w:cstheme="minorHAnsi"/>
        </w:rPr>
        <w:t>Delhi is divided into 282 wards (administrative divisions), out of which 272 fall under the jurisdiction of MCD. The average size of wards is 4.9 km</w:t>
      </w:r>
      <w:r w:rsidRPr="00A40217">
        <w:rPr>
          <w:rFonts w:cstheme="minorHAnsi"/>
          <w:vertAlign w:val="superscript"/>
        </w:rPr>
        <w:t>2</w:t>
      </w:r>
      <w:r w:rsidRPr="00A40217">
        <w:rPr>
          <w:rFonts w:cstheme="minorHAnsi"/>
        </w:rPr>
        <w:t>, with more than half (54%) of all the wards having an area of less than 2 km</w:t>
      </w:r>
      <w:r w:rsidRPr="00A40217">
        <w:rPr>
          <w:rFonts w:cstheme="minorHAnsi"/>
          <w:vertAlign w:val="superscript"/>
        </w:rPr>
        <w:t>2</w:t>
      </w:r>
      <w:r w:rsidRPr="00A40217">
        <w:rPr>
          <w:rFonts w:cstheme="minorHAnsi"/>
        </w:rPr>
        <w:t xml:space="preserve">.  For GIS analysis, QGIS (version 1.8.0) was used, which is an </w:t>
      </w:r>
      <w:proofErr w:type="gramStart"/>
      <w:r w:rsidRPr="00A40217">
        <w:rPr>
          <w:rFonts w:cstheme="minorHAnsi"/>
        </w:rPr>
        <w:t>open source</w:t>
      </w:r>
      <w:proofErr w:type="gramEnd"/>
      <w:r w:rsidRPr="00A40217">
        <w:rPr>
          <w:rFonts w:cstheme="minorHAnsi"/>
        </w:rPr>
        <w:t xml:space="preserve"> Geographical Information System (GIS) platform. A GIS shapefile was used with wards of Delhi and their corresponding population for Census 2011. By overlaying this shapefile on built-up area of the city, population of each ward was allocated to its corresponding built-up area, </w:t>
      </w:r>
      <w:proofErr w:type="gramStart"/>
      <w:r w:rsidRPr="00A40217">
        <w:rPr>
          <w:rFonts w:cstheme="minorHAnsi"/>
        </w:rPr>
        <w:t>in order to</w:t>
      </w:r>
      <w:proofErr w:type="gramEnd"/>
      <w:r w:rsidRPr="00A40217">
        <w:rPr>
          <w:rFonts w:cstheme="minorHAnsi"/>
        </w:rPr>
        <w:t xml:space="preserve"> obtain a high-resolution spatial distribution of population. The average and median built-up population densities of all wards in Delhi are 490 </w:t>
      </w:r>
      <w:proofErr w:type="spellStart"/>
      <w:r w:rsidRPr="00A40217">
        <w:rPr>
          <w:rFonts w:cstheme="minorHAnsi"/>
        </w:rPr>
        <w:t>pph</w:t>
      </w:r>
      <w:proofErr w:type="spellEnd"/>
      <w:r w:rsidRPr="00A40217">
        <w:rPr>
          <w:rFonts w:cstheme="minorHAnsi"/>
        </w:rPr>
        <w:t xml:space="preserve"> and 230 </w:t>
      </w:r>
      <w:proofErr w:type="spellStart"/>
      <w:r w:rsidRPr="00A40217">
        <w:rPr>
          <w:rFonts w:cstheme="minorHAnsi"/>
        </w:rPr>
        <w:t>pph</w:t>
      </w:r>
      <w:proofErr w:type="spellEnd"/>
      <w:r w:rsidRPr="00A40217">
        <w:rPr>
          <w:rFonts w:cstheme="minorHAnsi"/>
        </w:rPr>
        <w:t xml:space="preserve">, respectively, with 60% of the wards within 500 </w:t>
      </w:r>
      <w:proofErr w:type="spellStart"/>
      <w:r w:rsidRPr="00A40217">
        <w:rPr>
          <w:rFonts w:cstheme="minorHAnsi"/>
        </w:rPr>
        <w:t>pph</w:t>
      </w:r>
      <w:proofErr w:type="spellEnd"/>
      <w:r w:rsidRPr="00A40217">
        <w:rPr>
          <w:rFonts w:cstheme="minorHAnsi"/>
        </w:rPr>
        <w:t xml:space="preserve"> and 85% within 800 </w:t>
      </w:r>
      <w:proofErr w:type="spellStart"/>
      <w:r w:rsidRPr="00A40217">
        <w:rPr>
          <w:rFonts w:cstheme="minorHAnsi"/>
        </w:rPr>
        <w:t>pph</w:t>
      </w:r>
      <w:proofErr w:type="spellEnd"/>
      <w:r w:rsidRPr="00A40217">
        <w:rPr>
          <w:rFonts w:cstheme="minorHAnsi"/>
        </w:rPr>
        <w:t xml:space="preserve"> (see</w:t>
      </w:r>
      <w:r w:rsidR="00836C5D" w:rsidRPr="00A40217">
        <w:rPr>
          <w:rFonts w:cstheme="minorHAnsi"/>
          <w:b/>
        </w:rPr>
        <w:t xml:space="preserve"> </w:t>
      </w:r>
      <w:r w:rsidR="00836C5D" w:rsidRPr="00A40217">
        <w:rPr>
          <w:rFonts w:cstheme="minorHAnsi"/>
          <w:bCs/>
        </w:rPr>
        <w:t>Figure 1</w:t>
      </w:r>
      <w:r w:rsidRPr="00A40217">
        <w:rPr>
          <w:rFonts w:cstheme="minorHAnsi"/>
        </w:rPr>
        <w:t xml:space="preserve">). </w:t>
      </w:r>
    </w:p>
    <w:p w14:paraId="59541D86" w14:textId="63A3F010" w:rsidR="00C315E8" w:rsidRPr="00A40217" w:rsidRDefault="00C315E8" w:rsidP="0000489C">
      <w:pPr>
        <w:spacing w:before="240" w:after="0"/>
        <w:rPr>
          <w:rFonts w:cstheme="minorHAnsi"/>
        </w:rPr>
      </w:pPr>
      <w:r w:rsidRPr="00A40217">
        <w:rPr>
          <w:rFonts w:cstheme="minorHAnsi"/>
        </w:rPr>
        <w:t xml:space="preserve">A grid map with a resolution of 1km×1km was superimposed over the resulting shapefile of built-up in each ward, (see Figure </w:t>
      </w:r>
      <w:r w:rsidR="00836C5D" w:rsidRPr="00A40217">
        <w:rPr>
          <w:rFonts w:cstheme="minorHAnsi"/>
        </w:rPr>
        <w:t>3</w:t>
      </w:r>
      <w:r w:rsidRPr="00A40217">
        <w:rPr>
          <w:rFonts w:cstheme="minorHAnsi"/>
        </w:rPr>
        <w:t xml:space="preserve">), and the population was interpolated for each of the grids from the ward-level population. These grids provide a sampling frame from which the first stage sampling can be done. In Delhi, residential areas are divided into localities (colloquially called as </w:t>
      </w:r>
      <w:r w:rsidRPr="00A40217">
        <w:rPr>
          <w:rFonts w:cstheme="minorHAnsi"/>
          <w:i/>
        </w:rPr>
        <w:t>colonies</w:t>
      </w:r>
      <w:r w:rsidRPr="00A40217">
        <w:rPr>
          <w:rFonts w:cstheme="minorHAnsi"/>
        </w:rPr>
        <w:t>), which are homogeneous groups of houses. There are a total of 2334 localities within MCD’s jurisdiction. For property tax collection from residential areas, MCD has categorized each locality under eight different categories of property rates referred to by the letters ‘A’ through ‘H’, commonly known as circle rates, which are derived from the current cost of land per m</w:t>
      </w:r>
      <w:r w:rsidRPr="00A40217">
        <w:rPr>
          <w:rFonts w:cstheme="minorHAnsi"/>
          <w:vertAlign w:val="superscript"/>
        </w:rPr>
        <w:t>2</w:t>
      </w:r>
      <w:r w:rsidRPr="00A40217">
        <w:rPr>
          <w:rFonts w:cstheme="minorHAnsi"/>
        </w:rPr>
        <w:t>, with A being the highest property rate and H being the lowest (see</w:t>
      </w:r>
      <w:r w:rsidR="00836C5D" w:rsidRPr="00A40217">
        <w:rPr>
          <w:rFonts w:cstheme="minorHAnsi"/>
          <w:b/>
        </w:rPr>
        <w:t xml:space="preserve"> </w:t>
      </w:r>
      <w:r w:rsidR="00836C5D" w:rsidRPr="00A40217">
        <w:rPr>
          <w:rFonts w:cstheme="minorHAnsi"/>
          <w:bCs/>
        </w:rPr>
        <w:t>Table 1</w:t>
      </w:r>
      <w:r w:rsidRPr="00A40217">
        <w:rPr>
          <w:rFonts w:cstheme="minorHAnsi"/>
        </w:rPr>
        <w:t>). From the online portal of MCD, map-based database for localities, and their respective property rate categories, was used. Using this database, along with GE, a shapefile was created for the property rate category map (see</w:t>
      </w:r>
      <w:r w:rsidR="00836C5D" w:rsidRPr="00A40217">
        <w:rPr>
          <w:rFonts w:cstheme="minorHAnsi"/>
          <w:b/>
        </w:rPr>
        <w:t xml:space="preserve"> </w:t>
      </w:r>
      <w:r w:rsidR="00836C5D" w:rsidRPr="00A40217">
        <w:rPr>
          <w:rFonts w:cstheme="minorHAnsi"/>
          <w:bCs/>
        </w:rPr>
        <w:t>Figure 2)</w:t>
      </w:r>
      <w:r w:rsidRPr="00A40217">
        <w:rPr>
          <w:rFonts w:cstheme="minorHAnsi"/>
        </w:rPr>
        <w:t>. Each locality was then allocated to one of the grids shown in</w:t>
      </w:r>
      <w:r w:rsidR="00836C5D" w:rsidRPr="00A40217">
        <w:rPr>
          <w:rFonts w:cstheme="minorHAnsi"/>
          <w:b/>
        </w:rPr>
        <w:t xml:space="preserve"> </w:t>
      </w:r>
      <w:r w:rsidR="00836C5D" w:rsidRPr="00A40217">
        <w:rPr>
          <w:rFonts w:cstheme="minorHAnsi"/>
          <w:bCs/>
        </w:rPr>
        <w:t>Figure 3</w:t>
      </w:r>
      <w:r w:rsidRPr="00A40217">
        <w:rPr>
          <w:rFonts w:cstheme="minorHAnsi"/>
        </w:rPr>
        <w:t>. Note that one locality can simultaneously be mapped to more than one grid.</w:t>
      </w:r>
    </w:p>
    <w:p w14:paraId="0AFD8349" w14:textId="7127CF8B" w:rsidR="00C315E8" w:rsidRPr="00A40217" w:rsidRDefault="00C315E8" w:rsidP="00C315E8">
      <w:pPr>
        <w:pStyle w:val="Caption"/>
        <w:keepNext/>
        <w:rPr>
          <w:rFonts w:asciiTheme="minorHAnsi" w:hAnsiTheme="minorHAnsi" w:cstheme="minorHAnsi"/>
        </w:rPr>
      </w:pPr>
      <w:bookmarkStart w:id="9" w:name="_Ref426448247"/>
      <w:bookmarkStart w:id="10" w:name="_Toc476818635"/>
      <w:r w:rsidRPr="00A40217">
        <w:rPr>
          <w:rFonts w:asciiTheme="minorHAnsi" w:hAnsiTheme="minorHAnsi" w:cstheme="minorHAnsi"/>
        </w:rPr>
        <w:t xml:space="preserve">Table </w:t>
      </w:r>
      <w:bookmarkEnd w:id="9"/>
      <w:r w:rsidR="00836C5D" w:rsidRPr="00A40217">
        <w:rPr>
          <w:rFonts w:asciiTheme="minorHAnsi" w:hAnsiTheme="minorHAnsi" w:cstheme="minorHAnsi"/>
        </w:rPr>
        <w:t>1</w:t>
      </w:r>
      <w:r w:rsidRPr="00A40217">
        <w:rPr>
          <w:rFonts w:asciiTheme="minorHAnsi" w:hAnsiTheme="minorHAnsi" w:cstheme="minorHAnsi"/>
        </w:rPr>
        <w:t>: Property rate categories of localities under MCD jurisdiction</w:t>
      </w:r>
      <w:bookmarkEnd w:id="10"/>
    </w:p>
    <w:tbl>
      <w:tblPr>
        <w:tblStyle w:val="TableGrid"/>
        <w:tblW w:w="0" w:type="auto"/>
        <w:jc w:val="center"/>
        <w:tblLayout w:type="fixed"/>
        <w:tblLook w:val="04A0" w:firstRow="1" w:lastRow="0" w:firstColumn="1" w:lastColumn="0" w:noHBand="0" w:noVBand="1"/>
      </w:tblPr>
      <w:tblGrid>
        <w:gridCol w:w="1075"/>
        <w:gridCol w:w="3420"/>
      </w:tblGrid>
      <w:tr w:rsidR="00C315E8" w:rsidRPr="00A40217" w14:paraId="501D7A49" w14:textId="77777777" w:rsidTr="00F02FAB">
        <w:trPr>
          <w:trHeight w:hRule="exact" w:val="559"/>
          <w:tblHeader/>
          <w:jc w:val="center"/>
        </w:trPr>
        <w:tc>
          <w:tcPr>
            <w:tcW w:w="1075" w:type="dxa"/>
            <w:shd w:val="clear" w:color="auto" w:fill="BFBFBF" w:themeFill="background1" w:themeFillShade="BF"/>
          </w:tcPr>
          <w:p w14:paraId="3AA246AF" w14:textId="77777777" w:rsidR="00C315E8" w:rsidRPr="00A40217" w:rsidRDefault="00C315E8" w:rsidP="00F02FAB">
            <w:pPr>
              <w:rPr>
                <w:rFonts w:cstheme="minorHAnsi"/>
                <w:b/>
                <w:sz w:val="20"/>
              </w:rPr>
            </w:pPr>
            <w:r w:rsidRPr="00A40217">
              <w:rPr>
                <w:rFonts w:cstheme="minorHAnsi"/>
                <w:b/>
                <w:sz w:val="20"/>
              </w:rPr>
              <w:t>Category</w:t>
            </w:r>
          </w:p>
        </w:tc>
        <w:tc>
          <w:tcPr>
            <w:tcW w:w="3420" w:type="dxa"/>
            <w:shd w:val="clear" w:color="auto" w:fill="BFBFBF" w:themeFill="background1" w:themeFillShade="BF"/>
          </w:tcPr>
          <w:p w14:paraId="7E7E8621" w14:textId="77777777" w:rsidR="00C315E8" w:rsidRPr="00A40217" w:rsidRDefault="00C315E8" w:rsidP="00F02FAB">
            <w:pPr>
              <w:rPr>
                <w:rFonts w:cstheme="minorHAnsi"/>
                <w:b/>
                <w:sz w:val="20"/>
              </w:rPr>
            </w:pPr>
            <w:r w:rsidRPr="00A40217">
              <w:rPr>
                <w:rFonts w:cstheme="minorHAnsi"/>
                <w:b/>
                <w:sz w:val="20"/>
              </w:rPr>
              <w:t xml:space="preserve">Circle Rate  </w:t>
            </w:r>
          </w:p>
          <w:p w14:paraId="56ECA908" w14:textId="77777777" w:rsidR="00C315E8" w:rsidRPr="00A40217" w:rsidRDefault="00C315E8" w:rsidP="00F02FAB">
            <w:pPr>
              <w:rPr>
                <w:rFonts w:cstheme="minorHAnsi"/>
                <w:b/>
                <w:sz w:val="20"/>
              </w:rPr>
            </w:pPr>
            <w:r w:rsidRPr="00A40217">
              <w:rPr>
                <w:rFonts w:cstheme="minorHAnsi"/>
                <w:b/>
                <w:sz w:val="20"/>
              </w:rPr>
              <w:t xml:space="preserve">(Indian Rupees – INR </w:t>
            </w:r>
            <w:proofErr w:type="gramStart"/>
            <w:r w:rsidRPr="00A40217">
              <w:rPr>
                <w:rFonts w:cstheme="minorHAnsi"/>
                <w:b/>
                <w:sz w:val="20"/>
              </w:rPr>
              <w:t>–  per</w:t>
            </w:r>
            <w:proofErr w:type="gramEnd"/>
            <w:r w:rsidRPr="00A40217">
              <w:rPr>
                <w:rFonts w:cstheme="minorHAnsi"/>
                <w:b/>
                <w:sz w:val="20"/>
              </w:rPr>
              <w:t xml:space="preserve"> m</w:t>
            </w:r>
            <w:r w:rsidRPr="00A40217">
              <w:rPr>
                <w:rFonts w:cstheme="minorHAnsi"/>
                <w:b/>
                <w:sz w:val="20"/>
                <w:vertAlign w:val="superscript"/>
              </w:rPr>
              <w:t>2</w:t>
            </w:r>
            <w:r w:rsidRPr="00A40217">
              <w:rPr>
                <w:rFonts w:cstheme="minorHAnsi"/>
                <w:b/>
                <w:sz w:val="20"/>
              </w:rPr>
              <w:t>)</w:t>
            </w:r>
          </w:p>
        </w:tc>
      </w:tr>
      <w:tr w:rsidR="00C315E8" w:rsidRPr="00A40217" w14:paraId="14066373" w14:textId="77777777" w:rsidTr="00F02FAB">
        <w:trPr>
          <w:trHeight w:hRule="exact" w:val="288"/>
          <w:jc w:val="center"/>
        </w:trPr>
        <w:tc>
          <w:tcPr>
            <w:tcW w:w="1075" w:type="dxa"/>
          </w:tcPr>
          <w:p w14:paraId="15E92F51" w14:textId="77777777" w:rsidR="00C315E8" w:rsidRPr="00A40217" w:rsidRDefault="00C315E8" w:rsidP="00F02FAB">
            <w:pPr>
              <w:rPr>
                <w:rFonts w:cstheme="minorHAnsi"/>
                <w:sz w:val="20"/>
              </w:rPr>
            </w:pPr>
            <w:r w:rsidRPr="00A40217">
              <w:rPr>
                <w:rFonts w:cstheme="minorHAnsi"/>
                <w:sz w:val="20"/>
              </w:rPr>
              <w:t>A</w:t>
            </w:r>
          </w:p>
        </w:tc>
        <w:tc>
          <w:tcPr>
            <w:tcW w:w="3420" w:type="dxa"/>
          </w:tcPr>
          <w:p w14:paraId="2DC90660" w14:textId="77777777" w:rsidR="00C315E8" w:rsidRPr="00A40217" w:rsidRDefault="00C315E8" w:rsidP="00F02FAB">
            <w:pPr>
              <w:rPr>
                <w:rFonts w:cstheme="minorHAnsi"/>
                <w:sz w:val="20"/>
              </w:rPr>
            </w:pPr>
            <w:r w:rsidRPr="00A40217">
              <w:rPr>
                <w:rFonts w:cstheme="minorHAnsi"/>
                <w:sz w:val="20"/>
              </w:rPr>
              <w:t>6,45,000</w:t>
            </w:r>
          </w:p>
        </w:tc>
      </w:tr>
      <w:tr w:rsidR="00C315E8" w:rsidRPr="00A40217" w14:paraId="0696E583" w14:textId="77777777" w:rsidTr="00F02FAB">
        <w:trPr>
          <w:trHeight w:hRule="exact" w:val="288"/>
          <w:jc w:val="center"/>
        </w:trPr>
        <w:tc>
          <w:tcPr>
            <w:tcW w:w="1075" w:type="dxa"/>
          </w:tcPr>
          <w:p w14:paraId="5421ECB2" w14:textId="77777777" w:rsidR="00C315E8" w:rsidRPr="00A40217" w:rsidRDefault="00C315E8" w:rsidP="00F02FAB">
            <w:pPr>
              <w:rPr>
                <w:rFonts w:cstheme="minorHAnsi"/>
                <w:sz w:val="20"/>
              </w:rPr>
            </w:pPr>
            <w:r w:rsidRPr="00A40217">
              <w:rPr>
                <w:rFonts w:cstheme="minorHAnsi"/>
                <w:sz w:val="20"/>
              </w:rPr>
              <w:t>B</w:t>
            </w:r>
          </w:p>
        </w:tc>
        <w:tc>
          <w:tcPr>
            <w:tcW w:w="3420" w:type="dxa"/>
          </w:tcPr>
          <w:p w14:paraId="3482522A" w14:textId="77777777" w:rsidR="00C315E8" w:rsidRPr="00A40217" w:rsidRDefault="00C315E8" w:rsidP="00F02FAB">
            <w:pPr>
              <w:rPr>
                <w:rFonts w:cstheme="minorHAnsi"/>
                <w:sz w:val="20"/>
              </w:rPr>
            </w:pPr>
            <w:r w:rsidRPr="00A40217">
              <w:rPr>
                <w:rFonts w:cstheme="minorHAnsi"/>
                <w:sz w:val="20"/>
              </w:rPr>
              <w:t>2,04,600</w:t>
            </w:r>
          </w:p>
        </w:tc>
      </w:tr>
      <w:tr w:rsidR="00C315E8" w:rsidRPr="00A40217" w14:paraId="795E5522" w14:textId="77777777" w:rsidTr="00F02FAB">
        <w:trPr>
          <w:trHeight w:hRule="exact" w:val="288"/>
          <w:jc w:val="center"/>
        </w:trPr>
        <w:tc>
          <w:tcPr>
            <w:tcW w:w="1075" w:type="dxa"/>
          </w:tcPr>
          <w:p w14:paraId="65EF744E" w14:textId="77777777" w:rsidR="00C315E8" w:rsidRPr="00A40217" w:rsidRDefault="00C315E8" w:rsidP="00F02FAB">
            <w:pPr>
              <w:rPr>
                <w:rFonts w:cstheme="minorHAnsi"/>
                <w:sz w:val="20"/>
              </w:rPr>
            </w:pPr>
            <w:r w:rsidRPr="00A40217">
              <w:rPr>
                <w:rFonts w:cstheme="minorHAnsi"/>
                <w:sz w:val="20"/>
              </w:rPr>
              <w:lastRenderedPageBreak/>
              <w:t>C</w:t>
            </w:r>
          </w:p>
        </w:tc>
        <w:tc>
          <w:tcPr>
            <w:tcW w:w="3420" w:type="dxa"/>
          </w:tcPr>
          <w:p w14:paraId="2E4DCA80" w14:textId="77777777" w:rsidR="00C315E8" w:rsidRPr="00A40217" w:rsidRDefault="00C315E8" w:rsidP="00F02FAB">
            <w:pPr>
              <w:rPr>
                <w:rFonts w:cstheme="minorHAnsi"/>
                <w:sz w:val="20"/>
              </w:rPr>
            </w:pPr>
            <w:r w:rsidRPr="00A40217">
              <w:rPr>
                <w:rFonts w:cstheme="minorHAnsi"/>
                <w:sz w:val="20"/>
              </w:rPr>
              <w:t>1,33,220</w:t>
            </w:r>
          </w:p>
        </w:tc>
      </w:tr>
      <w:tr w:rsidR="00C315E8" w:rsidRPr="00A40217" w14:paraId="0C747DCA" w14:textId="77777777" w:rsidTr="00F02FAB">
        <w:trPr>
          <w:trHeight w:hRule="exact" w:val="288"/>
          <w:jc w:val="center"/>
        </w:trPr>
        <w:tc>
          <w:tcPr>
            <w:tcW w:w="1075" w:type="dxa"/>
          </w:tcPr>
          <w:p w14:paraId="32F4E1E1" w14:textId="77777777" w:rsidR="00C315E8" w:rsidRPr="00A40217" w:rsidRDefault="00C315E8" w:rsidP="00F02FAB">
            <w:pPr>
              <w:rPr>
                <w:rFonts w:cstheme="minorHAnsi"/>
                <w:sz w:val="20"/>
              </w:rPr>
            </w:pPr>
            <w:r w:rsidRPr="00A40217">
              <w:rPr>
                <w:rFonts w:cstheme="minorHAnsi"/>
                <w:sz w:val="20"/>
              </w:rPr>
              <w:t>D</w:t>
            </w:r>
          </w:p>
        </w:tc>
        <w:tc>
          <w:tcPr>
            <w:tcW w:w="3420" w:type="dxa"/>
          </w:tcPr>
          <w:p w14:paraId="778A3732" w14:textId="77777777" w:rsidR="00C315E8" w:rsidRPr="00A40217" w:rsidRDefault="00C315E8" w:rsidP="00F02FAB">
            <w:pPr>
              <w:rPr>
                <w:rFonts w:cstheme="minorHAnsi"/>
                <w:sz w:val="20"/>
              </w:rPr>
            </w:pPr>
            <w:r w:rsidRPr="00A40217">
              <w:rPr>
                <w:rFonts w:cstheme="minorHAnsi"/>
                <w:sz w:val="20"/>
              </w:rPr>
              <w:t>1,06,390</w:t>
            </w:r>
          </w:p>
        </w:tc>
      </w:tr>
      <w:tr w:rsidR="00C315E8" w:rsidRPr="00A40217" w14:paraId="22E25A55" w14:textId="77777777" w:rsidTr="00F02FAB">
        <w:trPr>
          <w:trHeight w:hRule="exact" w:val="288"/>
          <w:jc w:val="center"/>
        </w:trPr>
        <w:tc>
          <w:tcPr>
            <w:tcW w:w="1075" w:type="dxa"/>
          </w:tcPr>
          <w:p w14:paraId="6C0A7556" w14:textId="77777777" w:rsidR="00C315E8" w:rsidRPr="00A40217" w:rsidRDefault="00C315E8" w:rsidP="00F02FAB">
            <w:pPr>
              <w:rPr>
                <w:rFonts w:cstheme="minorHAnsi"/>
                <w:sz w:val="20"/>
              </w:rPr>
            </w:pPr>
            <w:r w:rsidRPr="00A40217">
              <w:rPr>
                <w:rFonts w:cstheme="minorHAnsi"/>
                <w:sz w:val="20"/>
              </w:rPr>
              <w:t>E</w:t>
            </w:r>
          </w:p>
        </w:tc>
        <w:tc>
          <w:tcPr>
            <w:tcW w:w="3420" w:type="dxa"/>
          </w:tcPr>
          <w:p w14:paraId="684464F8" w14:textId="77777777" w:rsidR="00C315E8" w:rsidRPr="00A40217" w:rsidRDefault="00C315E8" w:rsidP="00F02FAB">
            <w:pPr>
              <w:rPr>
                <w:rFonts w:cstheme="minorHAnsi"/>
                <w:sz w:val="20"/>
              </w:rPr>
            </w:pPr>
            <w:r w:rsidRPr="00A40217">
              <w:rPr>
                <w:rFonts w:cstheme="minorHAnsi"/>
                <w:sz w:val="20"/>
              </w:rPr>
              <w:t xml:space="preserve">   58,370</w:t>
            </w:r>
          </w:p>
        </w:tc>
      </w:tr>
      <w:tr w:rsidR="00C315E8" w:rsidRPr="00A40217" w14:paraId="70D2B1C1" w14:textId="77777777" w:rsidTr="00F02FAB">
        <w:trPr>
          <w:trHeight w:hRule="exact" w:val="288"/>
          <w:jc w:val="center"/>
        </w:trPr>
        <w:tc>
          <w:tcPr>
            <w:tcW w:w="1075" w:type="dxa"/>
          </w:tcPr>
          <w:p w14:paraId="60B0395B" w14:textId="77777777" w:rsidR="00C315E8" w:rsidRPr="00A40217" w:rsidRDefault="00C315E8" w:rsidP="00F02FAB">
            <w:pPr>
              <w:rPr>
                <w:rFonts w:cstheme="minorHAnsi"/>
                <w:sz w:val="20"/>
              </w:rPr>
            </w:pPr>
            <w:r w:rsidRPr="00A40217">
              <w:rPr>
                <w:rFonts w:cstheme="minorHAnsi"/>
                <w:sz w:val="20"/>
              </w:rPr>
              <w:t>F</w:t>
            </w:r>
          </w:p>
        </w:tc>
        <w:tc>
          <w:tcPr>
            <w:tcW w:w="3420" w:type="dxa"/>
          </w:tcPr>
          <w:p w14:paraId="63954707" w14:textId="77777777" w:rsidR="00C315E8" w:rsidRPr="00A40217" w:rsidRDefault="00C315E8" w:rsidP="00F02FAB">
            <w:pPr>
              <w:rPr>
                <w:rFonts w:cstheme="minorHAnsi"/>
                <w:sz w:val="20"/>
              </w:rPr>
            </w:pPr>
            <w:r w:rsidRPr="00A40217">
              <w:rPr>
                <w:rFonts w:cstheme="minorHAnsi"/>
                <w:sz w:val="20"/>
              </w:rPr>
              <w:t xml:space="preserve">   47,140</w:t>
            </w:r>
          </w:p>
        </w:tc>
      </w:tr>
      <w:tr w:rsidR="00C315E8" w:rsidRPr="00A40217" w14:paraId="0125B367" w14:textId="77777777" w:rsidTr="00F02FAB">
        <w:trPr>
          <w:trHeight w:hRule="exact" w:val="288"/>
          <w:jc w:val="center"/>
        </w:trPr>
        <w:tc>
          <w:tcPr>
            <w:tcW w:w="1075" w:type="dxa"/>
          </w:tcPr>
          <w:p w14:paraId="5DFA2DA0" w14:textId="77777777" w:rsidR="00C315E8" w:rsidRPr="00A40217" w:rsidRDefault="00C315E8" w:rsidP="00F02FAB">
            <w:pPr>
              <w:rPr>
                <w:rFonts w:cstheme="minorHAnsi"/>
                <w:sz w:val="20"/>
              </w:rPr>
            </w:pPr>
            <w:r w:rsidRPr="00A40217">
              <w:rPr>
                <w:rFonts w:cstheme="minorHAnsi"/>
                <w:sz w:val="20"/>
              </w:rPr>
              <w:t>G</w:t>
            </w:r>
          </w:p>
        </w:tc>
        <w:tc>
          <w:tcPr>
            <w:tcW w:w="3420" w:type="dxa"/>
          </w:tcPr>
          <w:p w14:paraId="61B53E58" w14:textId="77777777" w:rsidR="00C315E8" w:rsidRPr="00A40217" w:rsidRDefault="00C315E8" w:rsidP="00F02FAB">
            <w:pPr>
              <w:rPr>
                <w:rFonts w:cstheme="minorHAnsi"/>
                <w:sz w:val="20"/>
              </w:rPr>
            </w:pPr>
            <w:r w:rsidRPr="00A40217">
              <w:rPr>
                <w:rFonts w:cstheme="minorHAnsi"/>
                <w:sz w:val="20"/>
              </w:rPr>
              <w:t xml:space="preserve">   38,440</w:t>
            </w:r>
          </w:p>
        </w:tc>
      </w:tr>
      <w:tr w:rsidR="00C315E8" w:rsidRPr="00A40217" w14:paraId="0E789E76" w14:textId="77777777" w:rsidTr="00F02FAB">
        <w:trPr>
          <w:trHeight w:hRule="exact" w:val="288"/>
          <w:jc w:val="center"/>
        </w:trPr>
        <w:tc>
          <w:tcPr>
            <w:tcW w:w="1075" w:type="dxa"/>
          </w:tcPr>
          <w:p w14:paraId="1E602C72" w14:textId="77777777" w:rsidR="00C315E8" w:rsidRPr="00A40217" w:rsidRDefault="00C315E8" w:rsidP="00F02FAB">
            <w:pPr>
              <w:rPr>
                <w:rFonts w:cstheme="minorHAnsi"/>
                <w:sz w:val="20"/>
              </w:rPr>
            </w:pPr>
            <w:r w:rsidRPr="00A40217">
              <w:rPr>
                <w:rFonts w:cstheme="minorHAnsi"/>
                <w:sz w:val="20"/>
              </w:rPr>
              <w:t>H</w:t>
            </w:r>
          </w:p>
        </w:tc>
        <w:tc>
          <w:tcPr>
            <w:tcW w:w="3420" w:type="dxa"/>
          </w:tcPr>
          <w:p w14:paraId="6A95C377" w14:textId="77777777" w:rsidR="00C315E8" w:rsidRPr="00A40217" w:rsidRDefault="00C315E8" w:rsidP="00F02FAB">
            <w:pPr>
              <w:rPr>
                <w:rFonts w:cstheme="minorHAnsi"/>
                <w:sz w:val="20"/>
              </w:rPr>
            </w:pPr>
            <w:r w:rsidRPr="00A40217">
              <w:rPr>
                <w:rFonts w:cstheme="minorHAnsi"/>
                <w:sz w:val="20"/>
              </w:rPr>
              <w:t xml:space="preserve">   19,360</w:t>
            </w:r>
          </w:p>
        </w:tc>
      </w:tr>
    </w:tbl>
    <w:p w14:paraId="4463D827" w14:textId="0BCE0B61" w:rsidR="00C315E8" w:rsidRPr="00A40217" w:rsidRDefault="00C315E8" w:rsidP="00C315E8">
      <w:pPr>
        <w:spacing w:after="0"/>
        <w:rPr>
          <w:rFonts w:cstheme="minorHAnsi"/>
        </w:rPr>
      </w:pPr>
      <w:r w:rsidRPr="00A40217">
        <w:rPr>
          <w:rFonts w:cstheme="minorHAnsi"/>
        </w:rPr>
        <w:t xml:space="preserve">Further, stratification of these grids was carried out based on three criteria— a) location of grids with respect to ring roads (within inner ring road, between inner and outer ring roads, and outside outer ring road (including across </w:t>
      </w:r>
      <w:r w:rsidRPr="00A40217">
        <w:rPr>
          <w:rFonts w:cstheme="minorHAnsi"/>
          <w:i/>
        </w:rPr>
        <w:t>Yamuna</w:t>
      </w:r>
      <w:r w:rsidRPr="00A40217">
        <w:rPr>
          <w:rFonts w:cstheme="minorHAnsi"/>
        </w:rPr>
        <w:t xml:space="preserve"> river), b) location of grids with respect to the four quadrants in Delhi (north-east, north-west, south-east, and south-west, and c) categories of circle rates, with A and B combined into one and E and F combined into other (A-B, C, D, E-F, G, and H)</w:t>
      </w:r>
      <w:r w:rsidR="002B5218">
        <w:rPr>
          <w:rFonts w:cstheme="minorHAnsi"/>
        </w:rPr>
        <w:t xml:space="preserve"> (see Figure 3)</w:t>
      </w:r>
      <w:r w:rsidRPr="00A40217">
        <w:rPr>
          <w:rFonts w:cstheme="minorHAnsi"/>
        </w:rPr>
        <w:t xml:space="preserve">. Based on these three criteria, a total of 72 strata were obtained, among which only 42 were feasible. For instance, there was no grid with A/B circle rate category outside outer ring road and in the north-east quadrant. Using gridded population, population for each stratum was calculated. </w:t>
      </w:r>
    </w:p>
    <w:p w14:paraId="45682E5A" w14:textId="77777777" w:rsidR="00C315E8" w:rsidRPr="00A40217" w:rsidRDefault="00C315E8" w:rsidP="00C315E8">
      <w:pPr>
        <w:spacing w:after="0"/>
        <w:rPr>
          <w:rFonts w:cstheme="minorHAnsi"/>
        </w:rPr>
      </w:pPr>
      <w:r w:rsidRPr="00A40217">
        <w:rPr>
          <w:rFonts w:cstheme="minorHAnsi"/>
        </w:rPr>
        <w:t>To obtain a sample of ~2000 households, 70 grids were randomly selected from all the strata with the number of grids sampled from each stratum proportional to the latter’s population. Among the selected grids, for those with more than one locality inside them, the locality with the largest area within the grid was selected. Further, in the second stage of sampling, 30 households were randomly selected from each of the selected localities while visiting the site. For household selection, every 10</w:t>
      </w:r>
      <w:r w:rsidRPr="00A40217">
        <w:rPr>
          <w:rFonts w:cstheme="minorHAnsi"/>
          <w:vertAlign w:val="superscript"/>
        </w:rPr>
        <w:t>th</w:t>
      </w:r>
      <w:r w:rsidRPr="00A40217">
        <w:rPr>
          <w:rFonts w:cstheme="minorHAnsi"/>
        </w:rPr>
        <w:t xml:space="preserve"> household was selected, walking by right-hand rule in which the next house selected was to the right of the interviewer. The average response rate was 65%, with significant variation across the localities. </w:t>
      </w:r>
    </w:p>
    <w:p w14:paraId="48C718E6" w14:textId="1BDFE420" w:rsidR="00C315E8" w:rsidRPr="00A40217" w:rsidRDefault="00C315E8" w:rsidP="00C315E8">
      <w:pPr>
        <w:spacing w:after="0"/>
        <w:rPr>
          <w:rFonts w:cstheme="minorHAnsi"/>
        </w:rPr>
      </w:pPr>
      <w:r w:rsidRPr="00A40217">
        <w:rPr>
          <w:rFonts w:cstheme="minorHAnsi"/>
        </w:rPr>
        <w:t xml:space="preserve">In the survey questionnaire, travel diaries were recorded of all the residents of the household for the day </w:t>
      </w:r>
      <w:proofErr w:type="gramStart"/>
      <w:r w:rsidRPr="00A40217">
        <w:rPr>
          <w:rFonts w:cstheme="minorHAnsi"/>
        </w:rPr>
        <w:t>previous to</w:t>
      </w:r>
      <w:proofErr w:type="gramEnd"/>
      <w:r w:rsidRPr="00A40217">
        <w:rPr>
          <w:rFonts w:cstheme="minorHAnsi"/>
        </w:rPr>
        <w:t xml:space="preserve"> when visited the houses were visited for the survey. The surveys were conducted from Tuesday through Saturday to capture weekday travel pattern from Monday through Friday. For trips which included more than one segment, the questionnaire included segment-wise break-up of the trips. For instance, in case of a public transport (PT) trip, there are at least three segments— a) from home to PT stop, b) PT stop to destination bus stop, and c) from PT stop to </w:t>
      </w:r>
      <w:proofErr w:type="gramStart"/>
      <w:r w:rsidRPr="00A40217">
        <w:rPr>
          <w:rFonts w:cstheme="minorHAnsi"/>
        </w:rPr>
        <w:t>final destination</w:t>
      </w:r>
      <w:proofErr w:type="gramEnd"/>
      <w:r w:rsidRPr="00A40217">
        <w:rPr>
          <w:rFonts w:cstheme="minorHAnsi"/>
        </w:rPr>
        <w:t xml:space="preserve">. In case of a transfer, the segments will be even more. The survey also consisted of demographic and socio-economic characteristics of the household as well as individuals. For these, the questionnaire included questions which were </w:t>
      </w:r>
      <w:proofErr w:type="gramStart"/>
      <w:r w:rsidRPr="00A40217">
        <w:rPr>
          <w:rFonts w:cstheme="minorHAnsi"/>
        </w:rPr>
        <w:t>similar to</w:t>
      </w:r>
      <w:proofErr w:type="gramEnd"/>
      <w:r w:rsidRPr="00A40217">
        <w:rPr>
          <w:rFonts w:cstheme="minorHAnsi"/>
        </w:rPr>
        <w:t xml:space="preserve"> those in the Census. The trip lengths were reported by survey respondents and were rechecked using Google Maps </w:t>
      </w:r>
      <w:r w:rsidR="00002ACB" w:rsidRPr="00A40217">
        <w:rPr>
          <w:rFonts w:cstheme="minorHAnsi"/>
        </w:rPr>
        <w:t>to</w:t>
      </w:r>
      <w:r w:rsidRPr="00A40217">
        <w:rPr>
          <w:rFonts w:cstheme="minorHAnsi"/>
        </w:rPr>
        <w:t xml:space="preserve"> detect major discrepancies. In the questionnaire, the telephone numbers of the respondent’s household were also asked. The contact numbers were used while cleaning the data, to contact the respondents to clarify on some of the data gap or inconsistency in the questionnaire.  </w:t>
      </w:r>
    </w:p>
    <w:p w14:paraId="1913001B" w14:textId="52BB83F8" w:rsidR="00C315E8" w:rsidRPr="00A40217" w:rsidRDefault="00C315E8" w:rsidP="00C315E8">
      <w:pPr>
        <w:pStyle w:val="Caption"/>
        <w:keepNext/>
        <w:jc w:val="center"/>
        <w:rPr>
          <w:rFonts w:asciiTheme="minorHAnsi" w:hAnsiTheme="minorHAnsi" w:cstheme="minorHAnsi"/>
        </w:rPr>
      </w:pPr>
      <w:bookmarkStart w:id="11" w:name="_Ref432682989"/>
      <w:bookmarkStart w:id="12" w:name="_Toc476818636"/>
      <w:r w:rsidRPr="00A40217">
        <w:rPr>
          <w:rFonts w:asciiTheme="minorHAnsi" w:hAnsiTheme="minorHAnsi" w:cstheme="minorHAnsi"/>
        </w:rPr>
        <w:t>Table</w:t>
      </w:r>
      <w:bookmarkEnd w:id="11"/>
      <w:r w:rsidR="009161CE" w:rsidRPr="00A40217">
        <w:rPr>
          <w:rFonts w:asciiTheme="minorHAnsi" w:hAnsiTheme="minorHAnsi" w:cstheme="minorHAnsi"/>
        </w:rPr>
        <w:t xml:space="preserve"> 2</w:t>
      </w:r>
      <w:r w:rsidRPr="00A40217">
        <w:rPr>
          <w:rFonts w:asciiTheme="minorHAnsi" w:hAnsiTheme="minorHAnsi" w:cstheme="minorHAnsi"/>
        </w:rPr>
        <w:t>: Household characteristics— Sample versus Census</w:t>
      </w:r>
      <w:bookmarkEnd w:id="12"/>
    </w:p>
    <w:tbl>
      <w:tblPr>
        <w:tblW w:w="4040" w:type="dxa"/>
        <w:jc w:val="center"/>
        <w:tblLook w:val="04A0" w:firstRow="1" w:lastRow="0" w:firstColumn="1" w:lastColumn="0" w:noHBand="0" w:noVBand="1"/>
      </w:tblPr>
      <w:tblGrid>
        <w:gridCol w:w="1906"/>
        <w:gridCol w:w="1026"/>
        <w:gridCol w:w="1108"/>
      </w:tblGrid>
      <w:tr w:rsidR="00C315E8" w:rsidRPr="00A40217" w14:paraId="62DE4B66" w14:textId="77777777" w:rsidTr="00F02FAB">
        <w:trPr>
          <w:trHeight w:hRule="exact" w:val="253"/>
          <w:tblHeader/>
          <w:jc w:val="center"/>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F7C967" w14:textId="77777777" w:rsidR="00C315E8" w:rsidRPr="00A40217" w:rsidRDefault="00C315E8" w:rsidP="00F02FAB">
            <w:pPr>
              <w:spacing w:after="0"/>
              <w:rPr>
                <w:rFonts w:eastAsia="Times New Roman" w:cstheme="minorHAnsi"/>
              </w:rPr>
            </w:pPr>
          </w:p>
        </w:tc>
        <w:tc>
          <w:tcPr>
            <w:tcW w:w="1026" w:type="dxa"/>
            <w:tcBorders>
              <w:top w:val="single" w:sz="4" w:space="0" w:color="auto"/>
              <w:left w:val="nil"/>
              <w:bottom w:val="single" w:sz="4" w:space="0" w:color="auto"/>
              <w:right w:val="single" w:sz="4" w:space="0" w:color="auto"/>
            </w:tcBorders>
            <w:shd w:val="clear" w:color="auto" w:fill="auto"/>
            <w:noWrap/>
            <w:vAlign w:val="bottom"/>
          </w:tcPr>
          <w:p w14:paraId="24F633BC" w14:textId="77777777" w:rsidR="00C315E8" w:rsidRPr="00A40217" w:rsidRDefault="00C315E8" w:rsidP="00F02FAB">
            <w:pPr>
              <w:spacing w:after="0"/>
              <w:rPr>
                <w:rFonts w:eastAsia="Times New Roman" w:cstheme="minorHAnsi"/>
                <w:b/>
              </w:rPr>
            </w:pPr>
            <w:r w:rsidRPr="00A40217">
              <w:rPr>
                <w:rFonts w:eastAsia="Times New Roman" w:cstheme="minorHAnsi"/>
                <w:b/>
              </w:rPr>
              <w:t>Sample</w:t>
            </w:r>
          </w:p>
        </w:tc>
        <w:tc>
          <w:tcPr>
            <w:tcW w:w="1108" w:type="dxa"/>
            <w:tcBorders>
              <w:top w:val="single" w:sz="4" w:space="0" w:color="auto"/>
              <w:left w:val="nil"/>
              <w:bottom w:val="single" w:sz="4" w:space="0" w:color="auto"/>
              <w:right w:val="single" w:sz="4" w:space="0" w:color="auto"/>
            </w:tcBorders>
            <w:shd w:val="clear" w:color="auto" w:fill="auto"/>
            <w:noWrap/>
            <w:vAlign w:val="bottom"/>
          </w:tcPr>
          <w:p w14:paraId="142B796F" w14:textId="77777777" w:rsidR="00C315E8" w:rsidRPr="00A40217" w:rsidRDefault="00C315E8" w:rsidP="00F02FAB">
            <w:pPr>
              <w:spacing w:after="0"/>
              <w:rPr>
                <w:rFonts w:eastAsia="Times New Roman" w:cstheme="minorHAnsi"/>
                <w:b/>
              </w:rPr>
            </w:pPr>
            <w:r w:rsidRPr="00A40217">
              <w:rPr>
                <w:rFonts w:eastAsia="Times New Roman" w:cstheme="minorHAnsi"/>
                <w:b/>
              </w:rPr>
              <w:t>Census</w:t>
            </w:r>
          </w:p>
        </w:tc>
      </w:tr>
      <w:tr w:rsidR="00C315E8" w:rsidRPr="00A40217" w14:paraId="55BCEFF5" w14:textId="77777777" w:rsidTr="00F02FAB">
        <w:trPr>
          <w:trHeight w:hRule="exact" w:val="288"/>
          <w:jc w:val="center"/>
        </w:trPr>
        <w:tc>
          <w:tcPr>
            <w:tcW w:w="40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F6B1D" w14:textId="77777777" w:rsidR="00C315E8" w:rsidRPr="00A40217" w:rsidRDefault="00C315E8" w:rsidP="00F02FAB">
            <w:pPr>
              <w:spacing w:after="0"/>
              <w:rPr>
                <w:rFonts w:eastAsia="Times New Roman" w:cstheme="minorHAnsi"/>
                <w:b/>
              </w:rPr>
            </w:pPr>
            <w:r w:rsidRPr="00A40217">
              <w:rPr>
                <w:rFonts w:eastAsia="Times New Roman" w:cstheme="minorHAnsi"/>
                <w:b/>
              </w:rPr>
              <w:t>Household size</w:t>
            </w:r>
          </w:p>
        </w:tc>
      </w:tr>
      <w:tr w:rsidR="00C315E8" w:rsidRPr="00A40217" w14:paraId="0175E7A8" w14:textId="77777777" w:rsidTr="00F02FAB">
        <w:trPr>
          <w:trHeight w:hRule="exact" w:val="288"/>
          <w:jc w:val="center"/>
        </w:trPr>
        <w:tc>
          <w:tcPr>
            <w:tcW w:w="1906" w:type="dxa"/>
            <w:tcBorders>
              <w:top w:val="nil"/>
              <w:left w:val="single" w:sz="4" w:space="0" w:color="auto"/>
              <w:bottom w:val="single" w:sz="4" w:space="0" w:color="auto"/>
              <w:right w:val="single" w:sz="4" w:space="0" w:color="auto"/>
            </w:tcBorders>
            <w:shd w:val="clear" w:color="auto" w:fill="auto"/>
            <w:noWrap/>
            <w:vAlign w:val="bottom"/>
            <w:hideMark/>
          </w:tcPr>
          <w:p w14:paraId="4C4E5B3A" w14:textId="77777777" w:rsidR="00C315E8" w:rsidRPr="00A40217" w:rsidRDefault="00C315E8" w:rsidP="00F02FAB">
            <w:pPr>
              <w:spacing w:after="0"/>
              <w:rPr>
                <w:rFonts w:eastAsia="Times New Roman" w:cstheme="minorHAnsi"/>
              </w:rPr>
            </w:pPr>
            <w:r w:rsidRPr="00A40217">
              <w:rPr>
                <w:rFonts w:eastAsia="Times New Roman" w:cstheme="minorHAnsi"/>
              </w:rPr>
              <w:t>1</w:t>
            </w:r>
          </w:p>
        </w:tc>
        <w:tc>
          <w:tcPr>
            <w:tcW w:w="1026" w:type="dxa"/>
            <w:tcBorders>
              <w:top w:val="nil"/>
              <w:left w:val="nil"/>
              <w:bottom w:val="single" w:sz="4" w:space="0" w:color="auto"/>
              <w:right w:val="single" w:sz="4" w:space="0" w:color="auto"/>
            </w:tcBorders>
            <w:shd w:val="clear" w:color="auto" w:fill="auto"/>
            <w:noWrap/>
            <w:vAlign w:val="bottom"/>
            <w:hideMark/>
          </w:tcPr>
          <w:p w14:paraId="750E9603" w14:textId="77777777" w:rsidR="00C315E8" w:rsidRPr="00A40217" w:rsidRDefault="00C315E8" w:rsidP="00F02FAB">
            <w:pPr>
              <w:spacing w:after="0"/>
              <w:rPr>
                <w:rFonts w:eastAsia="Times New Roman" w:cstheme="minorHAnsi"/>
              </w:rPr>
            </w:pPr>
            <w:r w:rsidRPr="00A40217">
              <w:rPr>
                <w:rFonts w:eastAsia="Times New Roman" w:cstheme="minorHAnsi"/>
              </w:rPr>
              <w:t>7%</w:t>
            </w:r>
          </w:p>
        </w:tc>
        <w:tc>
          <w:tcPr>
            <w:tcW w:w="1108" w:type="dxa"/>
            <w:tcBorders>
              <w:top w:val="nil"/>
              <w:left w:val="nil"/>
              <w:bottom w:val="single" w:sz="4" w:space="0" w:color="auto"/>
              <w:right w:val="single" w:sz="4" w:space="0" w:color="auto"/>
            </w:tcBorders>
            <w:shd w:val="clear" w:color="auto" w:fill="auto"/>
            <w:noWrap/>
            <w:vAlign w:val="bottom"/>
            <w:hideMark/>
          </w:tcPr>
          <w:p w14:paraId="4B9DD80A" w14:textId="77777777" w:rsidR="00C315E8" w:rsidRPr="00A40217" w:rsidRDefault="00C315E8" w:rsidP="00F02FAB">
            <w:pPr>
              <w:spacing w:after="0"/>
              <w:rPr>
                <w:rFonts w:eastAsia="Times New Roman" w:cstheme="minorHAnsi"/>
              </w:rPr>
            </w:pPr>
            <w:r w:rsidRPr="00A40217">
              <w:rPr>
                <w:rFonts w:eastAsia="Times New Roman" w:cstheme="minorHAnsi"/>
              </w:rPr>
              <w:t>4%</w:t>
            </w:r>
          </w:p>
        </w:tc>
      </w:tr>
      <w:tr w:rsidR="00C315E8" w:rsidRPr="00A40217" w14:paraId="281E42DB" w14:textId="77777777" w:rsidTr="00F02FAB">
        <w:trPr>
          <w:trHeight w:hRule="exact" w:val="288"/>
          <w:jc w:val="center"/>
        </w:trPr>
        <w:tc>
          <w:tcPr>
            <w:tcW w:w="1906" w:type="dxa"/>
            <w:tcBorders>
              <w:top w:val="nil"/>
              <w:left w:val="single" w:sz="4" w:space="0" w:color="auto"/>
              <w:bottom w:val="single" w:sz="4" w:space="0" w:color="auto"/>
              <w:right w:val="single" w:sz="4" w:space="0" w:color="auto"/>
            </w:tcBorders>
            <w:shd w:val="clear" w:color="auto" w:fill="auto"/>
            <w:noWrap/>
            <w:vAlign w:val="bottom"/>
            <w:hideMark/>
          </w:tcPr>
          <w:p w14:paraId="2344BA5A" w14:textId="77777777" w:rsidR="00C315E8" w:rsidRPr="00A40217" w:rsidRDefault="00C315E8" w:rsidP="00F02FAB">
            <w:pPr>
              <w:spacing w:after="0"/>
              <w:rPr>
                <w:rFonts w:eastAsia="Times New Roman" w:cstheme="minorHAnsi"/>
              </w:rPr>
            </w:pPr>
            <w:r w:rsidRPr="00A40217">
              <w:rPr>
                <w:rFonts w:eastAsia="Times New Roman" w:cstheme="minorHAnsi"/>
              </w:rPr>
              <w:t>2</w:t>
            </w:r>
          </w:p>
        </w:tc>
        <w:tc>
          <w:tcPr>
            <w:tcW w:w="1026" w:type="dxa"/>
            <w:tcBorders>
              <w:top w:val="nil"/>
              <w:left w:val="nil"/>
              <w:bottom w:val="single" w:sz="4" w:space="0" w:color="auto"/>
              <w:right w:val="single" w:sz="4" w:space="0" w:color="auto"/>
            </w:tcBorders>
            <w:shd w:val="clear" w:color="auto" w:fill="auto"/>
            <w:noWrap/>
            <w:vAlign w:val="bottom"/>
            <w:hideMark/>
          </w:tcPr>
          <w:p w14:paraId="1EADC984" w14:textId="77777777" w:rsidR="00C315E8" w:rsidRPr="00A40217" w:rsidRDefault="00C315E8" w:rsidP="00F02FAB">
            <w:pPr>
              <w:spacing w:after="0"/>
              <w:rPr>
                <w:rFonts w:eastAsia="Times New Roman" w:cstheme="minorHAnsi"/>
              </w:rPr>
            </w:pPr>
            <w:r w:rsidRPr="00A40217">
              <w:rPr>
                <w:rFonts w:eastAsia="Times New Roman" w:cstheme="minorHAnsi"/>
              </w:rPr>
              <w:t>9%</w:t>
            </w:r>
          </w:p>
        </w:tc>
        <w:tc>
          <w:tcPr>
            <w:tcW w:w="1108" w:type="dxa"/>
            <w:tcBorders>
              <w:top w:val="nil"/>
              <w:left w:val="nil"/>
              <w:bottom w:val="single" w:sz="4" w:space="0" w:color="auto"/>
              <w:right w:val="single" w:sz="4" w:space="0" w:color="auto"/>
            </w:tcBorders>
            <w:shd w:val="clear" w:color="auto" w:fill="auto"/>
            <w:noWrap/>
            <w:vAlign w:val="bottom"/>
            <w:hideMark/>
          </w:tcPr>
          <w:p w14:paraId="0C18A27D" w14:textId="77777777" w:rsidR="00C315E8" w:rsidRPr="00A40217" w:rsidRDefault="00C315E8" w:rsidP="00F02FAB">
            <w:pPr>
              <w:spacing w:after="0"/>
              <w:rPr>
                <w:rFonts w:eastAsia="Times New Roman" w:cstheme="minorHAnsi"/>
              </w:rPr>
            </w:pPr>
            <w:r w:rsidRPr="00A40217">
              <w:rPr>
                <w:rFonts w:eastAsia="Times New Roman" w:cstheme="minorHAnsi"/>
              </w:rPr>
              <w:t>8%</w:t>
            </w:r>
          </w:p>
        </w:tc>
      </w:tr>
      <w:tr w:rsidR="00C315E8" w:rsidRPr="00A40217" w14:paraId="50AD6BC8" w14:textId="77777777" w:rsidTr="00F02FAB">
        <w:trPr>
          <w:trHeight w:hRule="exact" w:val="288"/>
          <w:jc w:val="center"/>
        </w:trPr>
        <w:tc>
          <w:tcPr>
            <w:tcW w:w="1906" w:type="dxa"/>
            <w:tcBorders>
              <w:top w:val="nil"/>
              <w:left w:val="single" w:sz="4" w:space="0" w:color="auto"/>
              <w:bottom w:val="single" w:sz="4" w:space="0" w:color="auto"/>
              <w:right w:val="single" w:sz="4" w:space="0" w:color="auto"/>
            </w:tcBorders>
            <w:shd w:val="clear" w:color="auto" w:fill="auto"/>
            <w:noWrap/>
            <w:vAlign w:val="bottom"/>
            <w:hideMark/>
          </w:tcPr>
          <w:p w14:paraId="2BF7988D" w14:textId="77777777" w:rsidR="00C315E8" w:rsidRPr="00A40217" w:rsidRDefault="00C315E8" w:rsidP="00F02FAB">
            <w:pPr>
              <w:spacing w:after="0"/>
              <w:rPr>
                <w:rFonts w:eastAsia="Times New Roman" w:cstheme="minorHAnsi"/>
              </w:rPr>
            </w:pPr>
            <w:r w:rsidRPr="00A40217">
              <w:rPr>
                <w:rFonts w:eastAsia="Times New Roman" w:cstheme="minorHAnsi"/>
              </w:rPr>
              <w:t>3</w:t>
            </w:r>
          </w:p>
        </w:tc>
        <w:tc>
          <w:tcPr>
            <w:tcW w:w="1026" w:type="dxa"/>
            <w:tcBorders>
              <w:top w:val="nil"/>
              <w:left w:val="nil"/>
              <w:bottom w:val="single" w:sz="4" w:space="0" w:color="auto"/>
              <w:right w:val="single" w:sz="4" w:space="0" w:color="auto"/>
            </w:tcBorders>
            <w:shd w:val="clear" w:color="auto" w:fill="auto"/>
            <w:noWrap/>
            <w:vAlign w:val="bottom"/>
            <w:hideMark/>
          </w:tcPr>
          <w:p w14:paraId="54A411E8" w14:textId="77777777" w:rsidR="00C315E8" w:rsidRPr="00A40217" w:rsidRDefault="00C315E8" w:rsidP="00F02FAB">
            <w:pPr>
              <w:spacing w:after="0"/>
              <w:rPr>
                <w:rFonts w:eastAsia="Times New Roman" w:cstheme="minorHAnsi"/>
              </w:rPr>
            </w:pPr>
            <w:r w:rsidRPr="00A40217">
              <w:rPr>
                <w:rFonts w:eastAsia="Times New Roman" w:cstheme="minorHAnsi"/>
              </w:rPr>
              <w:t>20%</w:t>
            </w:r>
          </w:p>
        </w:tc>
        <w:tc>
          <w:tcPr>
            <w:tcW w:w="1108" w:type="dxa"/>
            <w:tcBorders>
              <w:top w:val="nil"/>
              <w:left w:val="nil"/>
              <w:bottom w:val="single" w:sz="4" w:space="0" w:color="auto"/>
              <w:right w:val="single" w:sz="4" w:space="0" w:color="auto"/>
            </w:tcBorders>
            <w:shd w:val="clear" w:color="auto" w:fill="auto"/>
            <w:noWrap/>
            <w:vAlign w:val="bottom"/>
            <w:hideMark/>
          </w:tcPr>
          <w:p w14:paraId="354FC7B6" w14:textId="77777777" w:rsidR="00C315E8" w:rsidRPr="00A40217" w:rsidRDefault="00C315E8" w:rsidP="00F02FAB">
            <w:pPr>
              <w:spacing w:after="0"/>
              <w:rPr>
                <w:rFonts w:eastAsia="Times New Roman" w:cstheme="minorHAnsi"/>
              </w:rPr>
            </w:pPr>
            <w:r w:rsidRPr="00A40217">
              <w:rPr>
                <w:rFonts w:eastAsia="Times New Roman" w:cstheme="minorHAnsi"/>
              </w:rPr>
              <w:t>13%</w:t>
            </w:r>
          </w:p>
        </w:tc>
      </w:tr>
      <w:tr w:rsidR="00C315E8" w:rsidRPr="00A40217" w14:paraId="5DFA74C6" w14:textId="77777777" w:rsidTr="00F02FAB">
        <w:trPr>
          <w:trHeight w:hRule="exact" w:val="288"/>
          <w:jc w:val="center"/>
        </w:trPr>
        <w:tc>
          <w:tcPr>
            <w:tcW w:w="1906" w:type="dxa"/>
            <w:tcBorders>
              <w:top w:val="nil"/>
              <w:left w:val="single" w:sz="4" w:space="0" w:color="auto"/>
              <w:bottom w:val="single" w:sz="4" w:space="0" w:color="auto"/>
              <w:right w:val="single" w:sz="4" w:space="0" w:color="auto"/>
            </w:tcBorders>
            <w:shd w:val="clear" w:color="auto" w:fill="auto"/>
            <w:noWrap/>
            <w:vAlign w:val="bottom"/>
            <w:hideMark/>
          </w:tcPr>
          <w:p w14:paraId="280CA941" w14:textId="77777777" w:rsidR="00C315E8" w:rsidRPr="00A40217" w:rsidRDefault="00C315E8" w:rsidP="00F02FAB">
            <w:pPr>
              <w:spacing w:after="0"/>
              <w:rPr>
                <w:rFonts w:eastAsia="Times New Roman" w:cstheme="minorHAnsi"/>
              </w:rPr>
            </w:pPr>
            <w:r w:rsidRPr="00A40217">
              <w:rPr>
                <w:rFonts w:eastAsia="Times New Roman" w:cstheme="minorHAnsi"/>
              </w:rPr>
              <w:t>4</w:t>
            </w:r>
          </w:p>
        </w:tc>
        <w:tc>
          <w:tcPr>
            <w:tcW w:w="1026" w:type="dxa"/>
            <w:tcBorders>
              <w:top w:val="nil"/>
              <w:left w:val="nil"/>
              <w:bottom w:val="single" w:sz="4" w:space="0" w:color="auto"/>
              <w:right w:val="single" w:sz="4" w:space="0" w:color="auto"/>
            </w:tcBorders>
            <w:shd w:val="clear" w:color="auto" w:fill="auto"/>
            <w:noWrap/>
            <w:vAlign w:val="bottom"/>
            <w:hideMark/>
          </w:tcPr>
          <w:p w14:paraId="08C5F50A" w14:textId="77777777" w:rsidR="00C315E8" w:rsidRPr="00A40217" w:rsidRDefault="00C315E8" w:rsidP="00F02FAB">
            <w:pPr>
              <w:spacing w:after="0"/>
              <w:rPr>
                <w:rFonts w:eastAsia="Times New Roman" w:cstheme="minorHAnsi"/>
              </w:rPr>
            </w:pPr>
            <w:r w:rsidRPr="00A40217">
              <w:rPr>
                <w:rFonts w:eastAsia="Times New Roman" w:cstheme="minorHAnsi"/>
              </w:rPr>
              <w:t>31%</w:t>
            </w:r>
          </w:p>
        </w:tc>
        <w:tc>
          <w:tcPr>
            <w:tcW w:w="1108" w:type="dxa"/>
            <w:tcBorders>
              <w:top w:val="nil"/>
              <w:left w:val="nil"/>
              <w:bottom w:val="single" w:sz="4" w:space="0" w:color="auto"/>
              <w:right w:val="single" w:sz="4" w:space="0" w:color="auto"/>
            </w:tcBorders>
            <w:shd w:val="clear" w:color="auto" w:fill="auto"/>
            <w:noWrap/>
            <w:vAlign w:val="bottom"/>
            <w:hideMark/>
          </w:tcPr>
          <w:p w14:paraId="2D562C9E" w14:textId="77777777" w:rsidR="00C315E8" w:rsidRPr="00A40217" w:rsidRDefault="00C315E8" w:rsidP="00F02FAB">
            <w:pPr>
              <w:spacing w:after="0"/>
              <w:rPr>
                <w:rFonts w:eastAsia="Times New Roman" w:cstheme="minorHAnsi"/>
              </w:rPr>
            </w:pPr>
            <w:r w:rsidRPr="00A40217">
              <w:rPr>
                <w:rFonts w:eastAsia="Times New Roman" w:cstheme="minorHAnsi"/>
              </w:rPr>
              <w:t>24%</w:t>
            </w:r>
          </w:p>
        </w:tc>
      </w:tr>
      <w:tr w:rsidR="00C315E8" w:rsidRPr="00A40217" w14:paraId="6384A048" w14:textId="77777777" w:rsidTr="00F02FAB">
        <w:trPr>
          <w:trHeight w:hRule="exact" w:val="288"/>
          <w:jc w:val="center"/>
        </w:trPr>
        <w:tc>
          <w:tcPr>
            <w:tcW w:w="1906" w:type="dxa"/>
            <w:tcBorders>
              <w:top w:val="nil"/>
              <w:left w:val="single" w:sz="4" w:space="0" w:color="auto"/>
              <w:bottom w:val="single" w:sz="4" w:space="0" w:color="auto"/>
              <w:right w:val="single" w:sz="4" w:space="0" w:color="auto"/>
            </w:tcBorders>
            <w:shd w:val="clear" w:color="auto" w:fill="auto"/>
            <w:noWrap/>
            <w:vAlign w:val="bottom"/>
            <w:hideMark/>
          </w:tcPr>
          <w:p w14:paraId="6C5EC5CA" w14:textId="77777777" w:rsidR="00C315E8" w:rsidRPr="00A40217" w:rsidRDefault="00C315E8" w:rsidP="00F02FAB">
            <w:pPr>
              <w:spacing w:after="0"/>
              <w:rPr>
                <w:rFonts w:eastAsia="Times New Roman" w:cstheme="minorHAnsi"/>
              </w:rPr>
            </w:pPr>
            <w:r w:rsidRPr="00A40217">
              <w:rPr>
                <w:rFonts w:eastAsia="Times New Roman" w:cstheme="minorHAnsi"/>
              </w:rPr>
              <w:t>5</w:t>
            </w:r>
          </w:p>
        </w:tc>
        <w:tc>
          <w:tcPr>
            <w:tcW w:w="1026" w:type="dxa"/>
            <w:tcBorders>
              <w:top w:val="nil"/>
              <w:left w:val="nil"/>
              <w:bottom w:val="single" w:sz="4" w:space="0" w:color="auto"/>
              <w:right w:val="single" w:sz="4" w:space="0" w:color="auto"/>
            </w:tcBorders>
            <w:shd w:val="clear" w:color="auto" w:fill="auto"/>
            <w:noWrap/>
            <w:vAlign w:val="bottom"/>
            <w:hideMark/>
          </w:tcPr>
          <w:p w14:paraId="0AD6CBE0" w14:textId="77777777" w:rsidR="00C315E8" w:rsidRPr="00A40217" w:rsidRDefault="00C315E8" w:rsidP="00F02FAB">
            <w:pPr>
              <w:spacing w:after="0"/>
              <w:rPr>
                <w:rFonts w:eastAsia="Times New Roman" w:cstheme="minorHAnsi"/>
              </w:rPr>
            </w:pPr>
            <w:r w:rsidRPr="00A40217">
              <w:rPr>
                <w:rFonts w:eastAsia="Times New Roman" w:cstheme="minorHAnsi"/>
              </w:rPr>
              <w:t>18%</w:t>
            </w:r>
          </w:p>
        </w:tc>
        <w:tc>
          <w:tcPr>
            <w:tcW w:w="1108" w:type="dxa"/>
            <w:tcBorders>
              <w:top w:val="nil"/>
              <w:left w:val="nil"/>
              <w:bottom w:val="single" w:sz="4" w:space="0" w:color="auto"/>
              <w:right w:val="single" w:sz="4" w:space="0" w:color="auto"/>
            </w:tcBorders>
            <w:shd w:val="clear" w:color="auto" w:fill="auto"/>
            <w:noWrap/>
            <w:vAlign w:val="bottom"/>
            <w:hideMark/>
          </w:tcPr>
          <w:p w14:paraId="6D57FCA8" w14:textId="77777777" w:rsidR="00C315E8" w:rsidRPr="00A40217" w:rsidRDefault="00C315E8" w:rsidP="00F02FAB">
            <w:pPr>
              <w:spacing w:after="0"/>
              <w:rPr>
                <w:rFonts w:eastAsia="Times New Roman" w:cstheme="minorHAnsi"/>
              </w:rPr>
            </w:pPr>
            <w:r w:rsidRPr="00A40217">
              <w:rPr>
                <w:rFonts w:eastAsia="Times New Roman" w:cstheme="minorHAnsi"/>
              </w:rPr>
              <w:t>20%</w:t>
            </w:r>
          </w:p>
        </w:tc>
      </w:tr>
      <w:tr w:rsidR="00C315E8" w:rsidRPr="00A40217" w14:paraId="131CE6F5" w14:textId="77777777" w:rsidTr="00F02FAB">
        <w:trPr>
          <w:trHeight w:hRule="exact" w:val="288"/>
          <w:jc w:val="center"/>
        </w:trPr>
        <w:tc>
          <w:tcPr>
            <w:tcW w:w="1906" w:type="dxa"/>
            <w:tcBorders>
              <w:top w:val="nil"/>
              <w:left w:val="single" w:sz="4" w:space="0" w:color="auto"/>
              <w:bottom w:val="single" w:sz="4" w:space="0" w:color="auto"/>
              <w:right w:val="single" w:sz="4" w:space="0" w:color="auto"/>
            </w:tcBorders>
            <w:shd w:val="clear" w:color="auto" w:fill="auto"/>
            <w:noWrap/>
            <w:vAlign w:val="bottom"/>
            <w:hideMark/>
          </w:tcPr>
          <w:p w14:paraId="7205CFAE" w14:textId="77777777" w:rsidR="00C315E8" w:rsidRPr="00A40217" w:rsidRDefault="00C315E8" w:rsidP="00F02FAB">
            <w:pPr>
              <w:spacing w:after="0"/>
              <w:rPr>
                <w:rFonts w:eastAsia="Times New Roman" w:cstheme="minorHAnsi"/>
              </w:rPr>
            </w:pPr>
            <w:r w:rsidRPr="00A40217">
              <w:rPr>
                <w:rFonts w:eastAsia="Times New Roman" w:cstheme="minorHAnsi"/>
              </w:rPr>
              <w:t>6-8</w:t>
            </w:r>
          </w:p>
        </w:tc>
        <w:tc>
          <w:tcPr>
            <w:tcW w:w="1026" w:type="dxa"/>
            <w:tcBorders>
              <w:top w:val="nil"/>
              <w:left w:val="nil"/>
              <w:bottom w:val="single" w:sz="4" w:space="0" w:color="auto"/>
              <w:right w:val="single" w:sz="4" w:space="0" w:color="auto"/>
            </w:tcBorders>
            <w:shd w:val="clear" w:color="auto" w:fill="auto"/>
            <w:noWrap/>
            <w:vAlign w:val="bottom"/>
            <w:hideMark/>
          </w:tcPr>
          <w:p w14:paraId="63FD4B22" w14:textId="77777777" w:rsidR="00C315E8" w:rsidRPr="00A40217" w:rsidRDefault="00C315E8" w:rsidP="00F02FAB">
            <w:pPr>
              <w:spacing w:after="0"/>
              <w:rPr>
                <w:rFonts w:eastAsia="Times New Roman" w:cstheme="minorHAnsi"/>
              </w:rPr>
            </w:pPr>
            <w:r w:rsidRPr="00A40217">
              <w:rPr>
                <w:rFonts w:eastAsia="Times New Roman" w:cstheme="minorHAnsi"/>
              </w:rPr>
              <w:t>13%</w:t>
            </w:r>
          </w:p>
        </w:tc>
        <w:tc>
          <w:tcPr>
            <w:tcW w:w="1108" w:type="dxa"/>
            <w:tcBorders>
              <w:top w:val="nil"/>
              <w:left w:val="nil"/>
              <w:bottom w:val="single" w:sz="4" w:space="0" w:color="auto"/>
              <w:right w:val="single" w:sz="4" w:space="0" w:color="auto"/>
            </w:tcBorders>
            <w:shd w:val="clear" w:color="auto" w:fill="auto"/>
            <w:noWrap/>
            <w:vAlign w:val="bottom"/>
            <w:hideMark/>
          </w:tcPr>
          <w:p w14:paraId="07383A30" w14:textId="77777777" w:rsidR="00C315E8" w:rsidRPr="00A40217" w:rsidRDefault="00C315E8" w:rsidP="00F02FAB">
            <w:pPr>
              <w:spacing w:after="0"/>
              <w:rPr>
                <w:rFonts w:eastAsia="Times New Roman" w:cstheme="minorHAnsi"/>
              </w:rPr>
            </w:pPr>
            <w:r w:rsidRPr="00A40217">
              <w:rPr>
                <w:rFonts w:eastAsia="Times New Roman" w:cstheme="minorHAnsi"/>
              </w:rPr>
              <w:t>26%</w:t>
            </w:r>
          </w:p>
        </w:tc>
      </w:tr>
      <w:tr w:rsidR="00C315E8" w:rsidRPr="00A40217" w14:paraId="20BED825" w14:textId="77777777" w:rsidTr="00F02FAB">
        <w:trPr>
          <w:trHeight w:hRule="exact" w:val="288"/>
          <w:jc w:val="center"/>
        </w:trPr>
        <w:tc>
          <w:tcPr>
            <w:tcW w:w="1906" w:type="dxa"/>
            <w:tcBorders>
              <w:top w:val="nil"/>
              <w:left w:val="single" w:sz="4" w:space="0" w:color="auto"/>
              <w:bottom w:val="single" w:sz="4" w:space="0" w:color="auto"/>
              <w:right w:val="single" w:sz="4" w:space="0" w:color="auto"/>
            </w:tcBorders>
            <w:shd w:val="clear" w:color="auto" w:fill="auto"/>
            <w:noWrap/>
            <w:vAlign w:val="bottom"/>
            <w:hideMark/>
          </w:tcPr>
          <w:p w14:paraId="56D4FC3A" w14:textId="77777777" w:rsidR="00C315E8" w:rsidRPr="00A40217" w:rsidRDefault="00C315E8" w:rsidP="00F02FAB">
            <w:pPr>
              <w:spacing w:after="0"/>
              <w:rPr>
                <w:rFonts w:eastAsia="Times New Roman" w:cstheme="minorHAnsi"/>
              </w:rPr>
            </w:pPr>
            <w:r w:rsidRPr="00A40217">
              <w:rPr>
                <w:rFonts w:eastAsia="Times New Roman" w:cstheme="minorHAnsi"/>
              </w:rPr>
              <w:lastRenderedPageBreak/>
              <w:t>9+</w:t>
            </w:r>
          </w:p>
        </w:tc>
        <w:tc>
          <w:tcPr>
            <w:tcW w:w="1026" w:type="dxa"/>
            <w:tcBorders>
              <w:top w:val="nil"/>
              <w:left w:val="nil"/>
              <w:bottom w:val="single" w:sz="4" w:space="0" w:color="auto"/>
              <w:right w:val="single" w:sz="4" w:space="0" w:color="auto"/>
            </w:tcBorders>
            <w:shd w:val="clear" w:color="auto" w:fill="auto"/>
            <w:noWrap/>
            <w:vAlign w:val="bottom"/>
            <w:hideMark/>
          </w:tcPr>
          <w:p w14:paraId="43DD11E4" w14:textId="77777777" w:rsidR="00C315E8" w:rsidRPr="00A40217" w:rsidRDefault="00C315E8" w:rsidP="00F02FAB">
            <w:pPr>
              <w:spacing w:after="0"/>
              <w:rPr>
                <w:rFonts w:eastAsia="Times New Roman" w:cstheme="minorHAnsi"/>
              </w:rPr>
            </w:pPr>
            <w:r w:rsidRPr="00A40217">
              <w:rPr>
                <w:rFonts w:eastAsia="Times New Roman" w:cstheme="minorHAnsi"/>
              </w:rPr>
              <w:t>2%</w:t>
            </w:r>
          </w:p>
        </w:tc>
        <w:tc>
          <w:tcPr>
            <w:tcW w:w="1108" w:type="dxa"/>
            <w:tcBorders>
              <w:top w:val="nil"/>
              <w:left w:val="nil"/>
              <w:bottom w:val="single" w:sz="4" w:space="0" w:color="auto"/>
              <w:right w:val="single" w:sz="4" w:space="0" w:color="auto"/>
            </w:tcBorders>
            <w:shd w:val="clear" w:color="auto" w:fill="auto"/>
            <w:noWrap/>
            <w:vAlign w:val="bottom"/>
            <w:hideMark/>
          </w:tcPr>
          <w:p w14:paraId="130422FC" w14:textId="77777777" w:rsidR="00C315E8" w:rsidRPr="00A40217" w:rsidRDefault="00C315E8" w:rsidP="00F02FAB">
            <w:pPr>
              <w:spacing w:after="0"/>
              <w:rPr>
                <w:rFonts w:eastAsia="Times New Roman" w:cstheme="minorHAnsi"/>
              </w:rPr>
            </w:pPr>
            <w:r w:rsidRPr="00A40217">
              <w:rPr>
                <w:rFonts w:eastAsia="Times New Roman" w:cstheme="minorHAnsi"/>
              </w:rPr>
              <w:t>6%</w:t>
            </w:r>
          </w:p>
        </w:tc>
      </w:tr>
      <w:tr w:rsidR="00C315E8" w:rsidRPr="00A40217" w14:paraId="4BA64AA7" w14:textId="77777777" w:rsidTr="00F02FAB">
        <w:trPr>
          <w:trHeight w:hRule="exact" w:val="288"/>
          <w:jc w:val="center"/>
        </w:trPr>
        <w:tc>
          <w:tcPr>
            <w:tcW w:w="1906" w:type="dxa"/>
            <w:tcBorders>
              <w:top w:val="nil"/>
              <w:left w:val="single" w:sz="4" w:space="0" w:color="auto"/>
              <w:bottom w:val="single" w:sz="4" w:space="0" w:color="auto"/>
              <w:right w:val="single" w:sz="4" w:space="0" w:color="auto"/>
            </w:tcBorders>
            <w:shd w:val="clear" w:color="auto" w:fill="auto"/>
            <w:noWrap/>
            <w:vAlign w:val="bottom"/>
          </w:tcPr>
          <w:p w14:paraId="5476B891" w14:textId="77777777" w:rsidR="00C315E8" w:rsidRPr="00A40217" w:rsidRDefault="00C315E8" w:rsidP="00F02FAB">
            <w:pPr>
              <w:spacing w:after="0"/>
              <w:rPr>
                <w:rFonts w:eastAsia="Times New Roman" w:cstheme="minorHAnsi"/>
              </w:rPr>
            </w:pPr>
            <w:r w:rsidRPr="00A40217">
              <w:rPr>
                <w:rFonts w:eastAsia="Times New Roman" w:cstheme="minorHAnsi"/>
              </w:rPr>
              <w:t>All</w:t>
            </w:r>
          </w:p>
        </w:tc>
        <w:tc>
          <w:tcPr>
            <w:tcW w:w="1026" w:type="dxa"/>
            <w:tcBorders>
              <w:top w:val="nil"/>
              <w:left w:val="nil"/>
              <w:bottom w:val="single" w:sz="4" w:space="0" w:color="auto"/>
              <w:right w:val="single" w:sz="4" w:space="0" w:color="auto"/>
            </w:tcBorders>
            <w:shd w:val="clear" w:color="auto" w:fill="auto"/>
            <w:noWrap/>
            <w:vAlign w:val="bottom"/>
          </w:tcPr>
          <w:p w14:paraId="69936432" w14:textId="77777777" w:rsidR="00C315E8" w:rsidRPr="00A40217" w:rsidRDefault="00C315E8" w:rsidP="00F02FAB">
            <w:pPr>
              <w:spacing w:after="0"/>
              <w:rPr>
                <w:rFonts w:eastAsia="Times New Roman" w:cstheme="minorHAnsi"/>
              </w:rPr>
            </w:pPr>
            <w:r w:rsidRPr="00A40217">
              <w:rPr>
                <w:rFonts w:eastAsia="Times New Roman" w:cstheme="minorHAnsi"/>
              </w:rPr>
              <w:t>100%</w:t>
            </w:r>
          </w:p>
        </w:tc>
        <w:tc>
          <w:tcPr>
            <w:tcW w:w="1108" w:type="dxa"/>
            <w:tcBorders>
              <w:top w:val="nil"/>
              <w:left w:val="nil"/>
              <w:bottom w:val="single" w:sz="4" w:space="0" w:color="auto"/>
              <w:right w:val="single" w:sz="4" w:space="0" w:color="auto"/>
            </w:tcBorders>
            <w:shd w:val="clear" w:color="auto" w:fill="auto"/>
            <w:noWrap/>
            <w:vAlign w:val="bottom"/>
          </w:tcPr>
          <w:p w14:paraId="5677C3FB" w14:textId="77777777" w:rsidR="00C315E8" w:rsidRPr="00A40217" w:rsidRDefault="00C315E8" w:rsidP="00F02FAB">
            <w:pPr>
              <w:spacing w:after="0"/>
              <w:rPr>
                <w:rFonts w:eastAsia="Times New Roman" w:cstheme="minorHAnsi"/>
              </w:rPr>
            </w:pPr>
            <w:r w:rsidRPr="00A40217">
              <w:rPr>
                <w:rFonts w:eastAsia="Times New Roman" w:cstheme="minorHAnsi"/>
              </w:rPr>
              <w:t>100%</w:t>
            </w:r>
          </w:p>
        </w:tc>
      </w:tr>
      <w:tr w:rsidR="00C315E8" w:rsidRPr="00A40217" w14:paraId="751BA081" w14:textId="77777777" w:rsidTr="00F02FAB">
        <w:trPr>
          <w:trHeight w:hRule="exact" w:val="288"/>
          <w:jc w:val="center"/>
        </w:trPr>
        <w:tc>
          <w:tcPr>
            <w:tcW w:w="40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458AB3AC" w14:textId="77777777" w:rsidR="00C315E8" w:rsidRPr="00A40217" w:rsidRDefault="00C315E8" w:rsidP="00F02FAB">
            <w:pPr>
              <w:spacing w:after="0"/>
              <w:rPr>
                <w:rFonts w:eastAsia="Times New Roman" w:cstheme="minorHAnsi"/>
                <w:b/>
              </w:rPr>
            </w:pPr>
            <w:r w:rsidRPr="00A40217">
              <w:rPr>
                <w:rFonts w:eastAsia="Times New Roman" w:cstheme="minorHAnsi"/>
                <w:b/>
              </w:rPr>
              <w:t>Vehicle Ownership </w:t>
            </w:r>
          </w:p>
        </w:tc>
      </w:tr>
      <w:tr w:rsidR="00C315E8" w:rsidRPr="00A40217" w14:paraId="4B3429EC" w14:textId="77777777" w:rsidTr="00F02FAB">
        <w:trPr>
          <w:trHeight w:hRule="exact" w:val="288"/>
          <w:jc w:val="center"/>
        </w:trPr>
        <w:tc>
          <w:tcPr>
            <w:tcW w:w="1906" w:type="dxa"/>
            <w:tcBorders>
              <w:top w:val="nil"/>
              <w:left w:val="single" w:sz="4" w:space="0" w:color="auto"/>
              <w:bottom w:val="single" w:sz="4" w:space="0" w:color="auto"/>
              <w:right w:val="single" w:sz="4" w:space="0" w:color="auto"/>
            </w:tcBorders>
            <w:shd w:val="clear" w:color="auto" w:fill="auto"/>
            <w:noWrap/>
            <w:vAlign w:val="bottom"/>
            <w:hideMark/>
          </w:tcPr>
          <w:p w14:paraId="3FE95898" w14:textId="77777777" w:rsidR="00C315E8" w:rsidRPr="00A40217" w:rsidRDefault="00C315E8" w:rsidP="00F02FAB">
            <w:pPr>
              <w:spacing w:after="0"/>
              <w:rPr>
                <w:rFonts w:eastAsia="Times New Roman" w:cstheme="minorHAnsi"/>
              </w:rPr>
            </w:pPr>
            <w:r w:rsidRPr="00A40217">
              <w:rPr>
                <w:rFonts w:eastAsia="Times New Roman" w:cstheme="minorHAnsi"/>
              </w:rPr>
              <w:t>At least one car</w:t>
            </w:r>
          </w:p>
        </w:tc>
        <w:tc>
          <w:tcPr>
            <w:tcW w:w="1026" w:type="dxa"/>
            <w:tcBorders>
              <w:top w:val="nil"/>
              <w:left w:val="nil"/>
              <w:bottom w:val="single" w:sz="4" w:space="0" w:color="auto"/>
              <w:right w:val="single" w:sz="4" w:space="0" w:color="auto"/>
            </w:tcBorders>
            <w:shd w:val="clear" w:color="auto" w:fill="auto"/>
            <w:noWrap/>
            <w:vAlign w:val="bottom"/>
            <w:hideMark/>
          </w:tcPr>
          <w:p w14:paraId="75F89010" w14:textId="77777777" w:rsidR="00C315E8" w:rsidRPr="00A40217" w:rsidRDefault="00C315E8" w:rsidP="00F02FAB">
            <w:pPr>
              <w:spacing w:after="0"/>
              <w:rPr>
                <w:rFonts w:eastAsia="Times New Roman" w:cstheme="minorHAnsi"/>
              </w:rPr>
            </w:pPr>
            <w:r w:rsidRPr="00A40217">
              <w:rPr>
                <w:rFonts w:eastAsia="Times New Roman" w:cstheme="minorHAnsi"/>
              </w:rPr>
              <w:t>29%</w:t>
            </w:r>
          </w:p>
        </w:tc>
        <w:tc>
          <w:tcPr>
            <w:tcW w:w="1108" w:type="dxa"/>
            <w:tcBorders>
              <w:top w:val="nil"/>
              <w:left w:val="nil"/>
              <w:bottom w:val="single" w:sz="4" w:space="0" w:color="auto"/>
              <w:right w:val="single" w:sz="4" w:space="0" w:color="auto"/>
            </w:tcBorders>
            <w:shd w:val="clear" w:color="auto" w:fill="auto"/>
            <w:noWrap/>
            <w:vAlign w:val="bottom"/>
            <w:hideMark/>
          </w:tcPr>
          <w:p w14:paraId="5BBBB5A4" w14:textId="77777777" w:rsidR="00C315E8" w:rsidRPr="00A40217" w:rsidRDefault="00C315E8" w:rsidP="00F02FAB">
            <w:pPr>
              <w:spacing w:after="0"/>
              <w:rPr>
                <w:rFonts w:eastAsia="Times New Roman" w:cstheme="minorHAnsi"/>
              </w:rPr>
            </w:pPr>
            <w:r w:rsidRPr="00A40217">
              <w:rPr>
                <w:rFonts w:eastAsia="Times New Roman" w:cstheme="minorHAnsi"/>
              </w:rPr>
              <w:t>22%</w:t>
            </w:r>
          </w:p>
        </w:tc>
      </w:tr>
      <w:tr w:rsidR="00C315E8" w:rsidRPr="00A40217" w14:paraId="01C8C6EB" w14:textId="77777777" w:rsidTr="00F02FAB">
        <w:trPr>
          <w:trHeight w:hRule="exact" w:val="288"/>
          <w:jc w:val="center"/>
        </w:trPr>
        <w:tc>
          <w:tcPr>
            <w:tcW w:w="1906" w:type="dxa"/>
            <w:tcBorders>
              <w:top w:val="nil"/>
              <w:left w:val="single" w:sz="4" w:space="0" w:color="auto"/>
              <w:bottom w:val="single" w:sz="4" w:space="0" w:color="auto"/>
              <w:right w:val="single" w:sz="4" w:space="0" w:color="auto"/>
            </w:tcBorders>
            <w:shd w:val="clear" w:color="auto" w:fill="auto"/>
            <w:noWrap/>
            <w:vAlign w:val="bottom"/>
            <w:hideMark/>
          </w:tcPr>
          <w:p w14:paraId="2B39184E" w14:textId="77777777" w:rsidR="00C315E8" w:rsidRPr="00A40217" w:rsidRDefault="00C315E8" w:rsidP="00F02FAB">
            <w:pPr>
              <w:spacing w:after="0"/>
              <w:rPr>
                <w:rFonts w:eastAsia="Times New Roman" w:cstheme="minorHAnsi"/>
              </w:rPr>
            </w:pPr>
            <w:r w:rsidRPr="00A40217">
              <w:rPr>
                <w:rFonts w:eastAsia="Times New Roman" w:cstheme="minorHAnsi"/>
              </w:rPr>
              <w:t>At least one 2W</w:t>
            </w:r>
          </w:p>
        </w:tc>
        <w:tc>
          <w:tcPr>
            <w:tcW w:w="1026" w:type="dxa"/>
            <w:tcBorders>
              <w:top w:val="nil"/>
              <w:left w:val="nil"/>
              <w:bottom w:val="single" w:sz="4" w:space="0" w:color="auto"/>
              <w:right w:val="single" w:sz="4" w:space="0" w:color="auto"/>
            </w:tcBorders>
            <w:shd w:val="clear" w:color="auto" w:fill="auto"/>
            <w:noWrap/>
            <w:vAlign w:val="bottom"/>
            <w:hideMark/>
          </w:tcPr>
          <w:p w14:paraId="48662C72" w14:textId="77777777" w:rsidR="00C315E8" w:rsidRPr="00A40217" w:rsidRDefault="00C315E8" w:rsidP="00F02FAB">
            <w:pPr>
              <w:spacing w:after="0"/>
              <w:rPr>
                <w:rFonts w:eastAsia="Times New Roman" w:cstheme="minorHAnsi"/>
              </w:rPr>
            </w:pPr>
            <w:r w:rsidRPr="00A40217">
              <w:rPr>
                <w:rFonts w:eastAsia="Times New Roman" w:cstheme="minorHAnsi"/>
              </w:rPr>
              <w:t>64%</w:t>
            </w:r>
          </w:p>
        </w:tc>
        <w:tc>
          <w:tcPr>
            <w:tcW w:w="1108" w:type="dxa"/>
            <w:tcBorders>
              <w:top w:val="nil"/>
              <w:left w:val="nil"/>
              <w:bottom w:val="single" w:sz="4" w:space="0" w:color="auto"/>
              <w:right w:val="single" w:sz="4" w:space="0" w:color="auto"/>
            </w:tcBorders>
            <w:shd w:val="clear" w:color="auto" w:fill="auto"/>
            <w:noWrap/>
            <w:vAlign w:val="bottom"/>
            <w:hideMark/>
          </w:tcPr>
          <w:p w14:paraId="12C3EF87" w14:textId="77777777" w:rsidR="00C315E8" w:rsidRPr="00A40217" w:rsidRDefault="00C315E8" w:rsidP="00F02FAB">
            <w:pPr>
              <w:spacing w:after="0"/>
              <w:rPr>
                <w:rFonts w:eastAsia="Times New Roman" w:cstheme="minorHAnsi"/>
              </w:rPr>
            </w:pPr>
            <w:r w:rsidRPr="00A40217">
              <w:rPr>
                <w:rFonts w:eastAsia="Times New Roman" w:cstheme="minorHAnsi"/>
              </w:rPr>
              <w:t>41%</w:t>
            </w:r>
          </w:p>
        </w:tc>
      </w:tr>
      <w:tr w:rsidR="00C315E8" w:rsidRPr="00A40217" w14:paraId="26E5DA39" w14:textId="77777777" w:rsidTr="00F02FAB">
        <w:trPr>
          <w:trHeight w:hRule="exact" w:val="288"/>
          <w:jc w:val="center"/>
        </w:trPr>
        <w:tc>
          <w:tcPr>
            <w:tcW w:w="1906" w:type="dxa"/>
            <w:tcBorders>
              <w:top w:val="nil"/>
              <w:left w:val="single" w:sz="4" w:space="0" w:color="auto"/>
              <w:bottom w:val="single" w:sz="4" w:space="0" w:color="auto"/>
              <w:right w:val="single" w:sz="4" w:space="0" w:color="auto"/>
            </w:tcBorders>
            <w:shd w:val="clear" w:color="auto" w:fill="auto"/>
            <w:noWrap/>
            <w:vAlign w:val="bottom"/>
            <w:hideMark/>
          </w:tcPr>
          <w:p w14:paraId="0E83D3AE" w14:textId="77777777" w:rsidR="00C315E8" w:rsidRPr="00A40217" w:rsidRDefault="00C315E8" w:rsidP="00F02FAB">
            <w:pPr>
              <w:spacing w:after="0"/>
              <w:rPr>
                <w:rFonts w:eastAsia="Times New Roman" w:cstheme="minorHAnsi"/>
              </w:rPr>
            </w:pPr>
            <w:r w:rsidRPr="00A40217">
              <w:rPr>
                <w:rFonts w:eastAsia="Times New Roman" w:cstheme="minorHAnsi"/>
              </w:rPr>
              <w:t>At least one cycle</w:t>
            </w:r>
          </w:p>
        </w:tc>
        <w:tc>
          <w:tcPr>
            <w:tcW w:w="1026" w:type="dxa"/>
            <w:tcBorders>
              <w:top w:val="nil"/>
              <w:left w:val="nil"/>
              <w:bottom w:val="single" w:sz="4" w:space="0" w:color="auto"/>
              <w:right w:val="single" w:sz="4" w:space="0" w:color="auto"/>
            </w:tcBorders>
            <w:shd w:val="clear" w:color="auto" w:fill="auto"/>
            <w:noWrap/>
            <w:vAlign w:val="bottom"/>
            <w:hideMark/>
          </w:tcPr>
          <w:p w14:paraId="725C776D" w14:textId="77777777" w:rsidR="00C315E8" w:rsidRPr="00A40217" w:rsidRDefault="00C315E8" w:rsidP="00F02FAB">
            <w:pPr>
              <w:spacing w:after="0"/>
              <w:rPr>
                <w:rFonts w:eastAsia="Times New Roman" w:cstheme="minorHAnsi"/>
              </w:rPr>
            </w:pPr>
            <w:r w:rsidRPr="00A40217">
              <w:rPr>
                <w:rFonts w:eastAsia="Times New Roman" w:cstheme="minorHAnsi"/>
              </w:rPr>
              <w:t>23%</w:t>
            </w:r>
          </w:p>
        </w:tc>
        <w:tc>
          <w:tcPr>
            <w:tcW w:w="1108" w:type="dxa"/>
            <w:tcBorders>
              <w:top w:val="nil"/>
              <w:left w:val="nil"/>
              <w:bottom w:val="single" w:sz="4" w:space="0" w:color="auto"/>
              <w:right w:val="single" w:sz="4" w:space="0" w:color="auto"/>
            </w:tcBorders>
            <w:shd w:val="clear" w:color="auto" w:fill="auto"/>
            <w:noWrap/>
            <w:vAlign w:val="bottom"/>
            <w:hideMark/>
          </w:tcPr>
          <w:p w14:paraId="605E90CC" w14:textId="77777777" w:rsidR="00C315E8" w:rsidRPr="00A40217" w:rsidRDefault="00C315E8" w:rsidP="00F02FAB">
            <w:pPr>
              <w:spacing w:after="0"/>
              <w:rPr>
                <w:rFonts w:eastAsia="Times New Roman" w:cstheme="minorHAnsi"/>
              </w:rPr>
            </w:pPr>
            <w:r w:rsidRPr="00A40217">
              <w:rPr>
                <w:rFonts w:eastAsia="Times New Roman" w:cstheme="minorHAnsi"/>
              </w:rPr>
              <w:t>29%</w:t>
            </w:r>
          </w:p>
        </w:tc>
      </w:tr>
      <w:tr w:rsidR="00C315E8" w:rsidRPr="00A40217" w14:paraId="0635662A" w14:textId="77777777" w:rsidTr="00F02FAB">
        <w:trPr>
          <w:trHeight w:hRule="exact" w:val="288"/>
          <w:jc w:val="center"/>
        </w:trPr>
        <w:tc>
          <w:tcPr>
            <w:tcW w:w="1906" w:type="dxa"/>
            <w:tcBorders>
              <w:top w:val="nil"/>
              <w:left w:val="single" w:sz="4" w:space="0" w:color="auto"/>
              <w:bottom w:val="single" w:sz="4" w:space="0" w:color="auto"/>
              <w:right w:val="single" w:sz="4" w:space="0" w:color="auto"/>
            </w:tcBorders>
            <w:shd w:val="clear" w:color="auto" w:fill="auto"/>
            <w:noWrap/>
            <w:vAlign w:val="bottom"/>
            <w:hideMark/>
          </w:tcPr>
          <w:p w14:paraId="5AF176B3" w14:textId="77777777" w:rsidR="00C315E8" w:rsidRPr="00A40217" w:rsidRDefault="00C315E8" w:rsidP="00F02FAB">
            <w:pPr>
              <w:spacing w:after="0"/>
              <w:rPr>
                <w:rFonts w:eastAsia="Times New Roman" w:cstheme="minorHAnsi"/>
              </w:rPr>
            </w:pPr>
            <w:r w:rsidRPr="00A40217">
              <w:rPr>
                <w:rFonts w:eastAsia="Times New Roman" w:cstheme="minorHAnsi"/>
              </w:rPr>
              <w:t>No vehicle</w:t>
            </w:r>
          </w:p>
        </w:tc>
        <w:tc>
          <w:tcPr>
            <w:tcW w:w="1026" w:type="dxa"/>
            <w:tcBorders>
              <w:top w:val="nil"/>
              <w:left w:val="nil"/>
              <w:bottom w:val="single" w:sz="4" w:space="0" w:color="auto"/>
              <w:right w:val="single" w:sz="4" w:space="0" w:color="auto"/>
            </w:tcBorders>
            <w:shd w:val="clear" w:color="auto" w:fill="auto"/>
            <w:noWrap/>
            <w:vAlign w:val="bottom"/>
            <w:hideMark/>
          </w:tcPr>
          <w:p w14:paraId="7C63A17E" w14:textId="77777777" w:rsidR="00C315E8" w:rsidRPr="00A40217" w:rsidRDefault="00C315E8" w:rsidP="00F02FAB">
            <w:pPr>
              <w:spacing w:after="0"/>
              <w:rPr>
                <w:rFonts w:eastAsia="Times New Roman" w:cstheme="minorHAnsi"/>
              </w:rPr>
            </w:pPr>
            <w:r w:rsidRPr="00A40217">
              <w:rPr>
                <w:rFonts w:eastAsia="Times New Roman" w:cstheme="minorHAnsi"/>
              </w:rPr>
              <w:t>19%</w:t>
            </w:r>
          </w:p>
        </w:tc>
        <w:tc>
          <w:tcPr>
            <w:tcW w:w="1108" w:type="dxa"/>
            <w:tcBorders>
              <w:top w:val="nil"/>
              <w:left w:val="nil"/>
              <w:bottom w:val="single" w:sz="4" w:space="0" w:color="auto"/>
              <w:right w:val="single" w:sz="4" w:space="0" w:color="auto"/>
            </w:tcBorders>
            <w:shd w:val="clear" w:color="auto" w:fill="auto"/>
            <w:noWrap/>
            <w:vAlign w:val="bottom"/>
            <w:hideMark/>
          </w:tcPr>
          <w:p w14:paraId="15375144" w14:textId="77777777" w:rsidR="00C315E8" w:rsidRPr="00A40217" w:rsidRDefault="00C315E8" w:rsidP="00F02FAB">
            <w:pPr>
              <w:spacing w:after="0"/>
              <w:rPr>
                <w:rFonts w:eastAsia="Times New Roman" w:cstheme="minorHAnsi"/>
              </w:rPr>
            </w:pPr>
            <w:r w:rsidRPr="00A40217">
              <w:rPr>
                <w:rFonts w:eastAsia="Times New Roman" w:cstheme="minorHAnsi"/>
              </w:rPr>
              <w:t>36%</w:t>
            </w:r>
          </w:p>
        </w:tc>
      </w:tr>
      <w:tr w:rsidR="00C315E8" w:rsidRPr="00A40217" w14:paraId="7230A692" w14:textId="77777777" w:rsidTr="00F02FAB">
        <w:trPr>
          <w:trHeight w:hRule="exact" w:val="288"/>
          <w:jc w:val="center"/>
        </w:trPr>
        <w:tc>
          <w:tcPr>
            <w:tcW w:w="1906" w:type="dxa"/>
            <w:tcBorders>
              <w:top w:val="nil"/>
              <w:left w:val="single" w:sz="4" w:space="0" w:color="auto"/>
              <w:bottom w:val="single" w:sz="4" w:space="0" w:color="auto"/>
              <w:right w:val="single" w:sz="4" w:space="0" w:color="auto"/>
            </w:tcBorders>
            <w:shd w:val="clear" w:color="auto" w:fill="auto"/>
            <w:noWrap/>
            <w:vAlign w:val="bottom"/>
          </w:tcPr>
          <w:p w14:paraId="499CFF2C" w14:textId="77777777" w:rsidR="00C315E8" w:rsidRPr="00A40217" w:rsidRDefault="00C315E8" w:rsidP="00F02FAB">
            <w:pPr>
              <w:spacing w:after="0"/>
              <w:rPr>
                <w:rFonts w:eastAsia="Times New Roman" w:cstheme="minorHAnsi"/>
              </w:rPr>
            </w:pPr>
            <w:r w:rsidRPr="00A40217">
              <w:rPr>
                <w:rFonts w:eastAsia="Times New Roman" w:cstheme="minorHAnsi"/>
              </w:rPr>
              <w:t>All</w:t>
            </w:r>
          </w:p>
        </w:tc>
        <w:tc>
          <w:tcPr>
            <w:tcW w:w="1026" w:type="dxa"/>
            <w:tcBorders>
              <w:top w:val="nil"/>
              <w:left w:val="nil"/>
              <w:bottom w:val="single" w:sz="4" w:space="0" w:color="auto"/>
              <w:right w:val="single" w:sz="4" w:space="0" w:color="auto"/>
            </w:tcBorders>
            <w:shd w:val="clear" w:color="auto" w:fill="auto"/>
            <w:noWrap/>
            <w:vAlign w:val="bottom"/>
          </w:tcPr>
          <w:p w14:paraId="26F61161" w14:textId="77777777" w:rsidR="00C315E8" w:rsidRPr="00A40217" w:rsidRDefault="00C315E8" w:rsidP="00F02FAB">
            <w:pPr>
              <w:spacing w:after="0"/>
              <w:rPr>
                <w:rFonts w:eastAsia="Times New Roman" w:cstheme="minorHAnsi"/>
              </w:rPr>
            </w:pPr>
            <w:r w:rsidRPr="00A40217">
              <w:rPr>
                <w:rFonts w:eastAsia="Times New Roman" w:cstheme="minorHAnsi"/>
              </w:rPr>
              <w:t>100%</w:t>
            </w:r>
          </w:p>
        </w:tc>
        <w:tc>
          <w:tcPr>
            <w:tcW w:w="1108" w:type="dxa"/>
            <w:tcBorders>
              <w:top w:val="nil"/>
              <w:left w:val="nil"/>
              <w:bottom w:val="single" w:sz="4" w:space="0" w:color="auto"/>
              <w:right w:val="single" w:sz="4" w:space="0" w:color="auto"/>
            </w:tcBorders>
            <w:shd w:val="clear" w:color="auto" w:fill="auto"/>
            <w:noWrap/>
            <w:vAlign w:val="bottom"/>
          </w:tcPr>
          <w:p w14:paraId="49057A46" w14:textId="77777777" w:rsidR="00C315E8" w:rsidRPr="00A40217" w:rsidRDefault="00C315E8" w:rsidP="00F02FAB">
            <w:pPr>
              <w:spacing w:after="0"/>
              <w:rPr>
                <w:rFonts w:eastAsia="Times New Roman" w:cstheme="minorHAnsi"/>
              </w:rPr>
            </w:pPr>
            <w:r w:rsidRPr="00A40217">
              <w:rPr>
                <w:rFonts w:eastAsia="Times New Roman" w:cstheme="minorHAnsi"/>
              </w:rPr>
              <w:t>100%</w:t>
            </w:r>
          </w:p>
        </w:tc>
      </w:tr>
      <w:tr w:rsidR="00C315E8" w:rsidRPr="00A40217" w14:paraId="0C958124" w14:textId="77777777" w:rsidTr="00F02FAB">
        <w:trPr>
          <w:trHeight w:hRule="exact" w:val="288"/>
          <w:jc w:val="center"/>
        </w:trPr>
        <w:tc>
          <w:tcPr>
            <w:tcW w:w="40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4F731265" w14:textId="77777777" w:rsidR="00C315E8" w:rsidRPr="00A40217" w:rsidRDefault="00C315E8" w:rsidP="00F02FAB">
            <w:pPr>
              <w:spacing w:after="0"/>
              <w:rPr>
                <w:rFonts w:eastAsia="Times New Roman" w:cstheme="minorHAnsi"/>
                <w:b/>
              </w:rPr>
            </w:pPr>
            <w:r w:rsidRPr="00A40217">
              <w:rPr>
                <w:rFonts w:eastAsia="Times New Roman" w:cstheme="minorHAnsi"/>
                <w:b/>
              </w:rPr>
              <w:t>House Ownership </w:t>
            </w:r>
          </w:p>
        </w:tc>
      </w:tr>
      <w:tr w:rsidR="00C315E8" w:rsidRPr="00A40217" w14:paraId="074B492A" w14:textId="77777777" w:rsidTr="00F02FAB">
        <w:trPr>
          <w:trHeight w:hRule="exact" w:val="288"/>
          <w:jc w:val="center"/>
        </w:trPr>
        <w:tc>
          <w:tcPr>
            <w:tcW w:w="1906" w:type="dxa"/>
            <w:tcBorders>
              <w:top w:val="nil"/>
              <w:left w:val="single" w:sz="4" w:space="0" w:color="auto"/>
              <w:bottom w:val="single" w:sz="4" w:space="0" w:color="auto"/>
              <w:right w:val="single" w:sz="4" w:space="0" w:color="auto"/>
            </w:tcBorders>
            <w:shd w:val="clear" w:color="auto" w:fill="auto"/>
            <w:noWrap/>
            <w:vAlign w:val="bottom"/>
            <w:hideMark/>
          </w:tcPr>
          <w:p w14:paraId="5E87EA63" w14:textId="77777777" w:rsidR="00C315E8" w:rsidRPr="00A40217" w:rsidRDefault="00C315E8" w:rsidP="00F02FAB">
            <w:pPr>
              <w:spacing w:after="0"/>
              <w:rPr>
                <w:rFonts w:eastAsia="Times New Roman" w:cstheme="minorHAnsi"/>
              </w:rPr>
            </w:pPr>
            <w:r w:rsidRPr="00A40217">
              <w:rPr>
                <w:rFonts w:eastAsia="Times New Roman" w:cstheme="minorHAnsi"/>
              </w:rPr>
              <w:t>Own</w:t>
            </w:r>
          </w:p>
        </w:tc>
        <w:tc>
          <w:tcPr>
            <w:tcW w:w="1026" w:type="dxa"/>
            <w:tcBorders>
              <w:top w:val="nil"/>
              <w:left w:val="nil"/>
              <w:bottom w:val="single" w:sz="4" w:space="0" w:color="auto"/>
              <w:right w:val="single" w:sz="4" w:space="0" w:color="auto"/>
            </w:tcBorders>
            <w:shd w:val="clear" w:color="auto" w:fill="auto"/>
            <w:noWrap/>
            <w:vAlign w:val="bottom"/>
            <w:hideMark/>
          </w:tcPr>
          <w:p w14:paraId="1F37CD88" w14:textId="77777777" w:rsidR="00C315E8" w:rsidRPr="00A40217" w:rsidRDefault="00C315E8" w:rsidP="00F02FAB">
            <w:pPr>
              <w:spacing w:after="0"/>
              <w:rPr>
                <w:rFonts w:eastAsia="Times New Roman" w:cstheme="minorHAnsi"/>
              </w:rPr>
            </w:pPr>
            <w:r w:rsidRPr="00A40217">
              <w:rPr>
                <w:rFonts w:eastAsia="Times New Roman" w:cstheme="minorHAnsi"/>
              </w:rPr>
              <w:t>61%</w:t>
            </w:r>
          </w:p>
        </w:tc>
        <w:tc>
          <w:tcPr>
            <w:tcW w:w="1108" w:type="dxa"/>
            <w:tcBorders>
              <w:top w:val="nil"/>
              <w:left w:val="nil"/>
              <w:bottom w:val="single" w:sz="4" w:space="0" w:color="auto"/>
              <w:right w:val="single" w:sz="4" w:space="0" w:color="auto"/>
            </w:tcBorders>
            <w:shd w:val="clear" w:color="auto" w:fill="auto"/>
            <w:noWrap/>
            <w:vAlign w:val="bottom"/>
            <w:hideMark/>
          </w:tcPr>
          <w:p w14:paraId="3AD48DA8" w14:textId="77777777" w:rsidR="00C315E8" w:rsidRPr="00A40217" w:rsidRDefault="00C315E8" w:rsidP="00F02FAB">
            <w:pPr>
              <w:spacing w:after="0"/>
              <w:rPr>
                <w:rFonts w:eastAsia="Times New Roman" w:cstheme="minorHAnsi"/>
              </w:rPr>
            </w:pPr>
            <w:r w:rsidRPr="00A40217">
              <w:rPr>
                <w:rFonts w:eastAsia="Times New Roman" w:cstheme="minorHAnsi"/>
              </w:rPr>
              <w:t>68%</w:t>
            </w:r>
          </w:p>
        </w:tc>
      </w:tr>
      <w:tr w:rsidR="00C315E8" w:rsidRPr="00A40217" w14:paraId="64C15E61" w14:textId="77777777" w:rsidTr="00F02FAB">
        <w:trPr>
          <w:trHeight w:hRule="exact" w:val="288"/>
          <w:jc w:val="center"/>
        </w:trPr>
        <w:tc>
          <w:tcPr>
            <w:tcW w:w="1906" w:type="dxa"/>
            <w:tcBorders>
              <w:top w:val="nil"/>
              <w:left w:val="single" w:sz="4" w:space="0" w:color="auto"/>
              <w:bottom w:val="single" w:sz="4" w:space="0" w:color="auto"/>
              <w:right w:val="single" w:sz="4" w:space="0" w:color="auto"/>
            </w:tcBorders>
            <w:shd w:val="clear" w:color="auto" w:fill="auto"/>
            <w:noWrap/>
            <w:vAlign w:val="bottom"/>
            <w:hideMark/>
          </w:tcPr>
          <w:p w14:paraId="6E428FA5" w14:textId="77777777" w:rsidR="00C315E8" w:rsidRPr="00A40217" w:rsidRDefault="00C315E8" w:rsidP="00F02FAB">
            <w:pPr>
              <w:spacing w:after="0"/>
              <w:rPr>
                <w:rFonts w:eastAsia="Times New Roman" w:cstheme="minorHAnsi"/>
              </w:rPr>
            </w:pPr>
            <w:r w:rsidRPr="00A40217">
              <w:rPr>
                <w:rFonts w:eastAsia="Times New Roman" w:cstheme="minorHAnsi"/>
              </w:rPr>
              <w:t>Rented</w:t>
            </w:r>
          </w:p>
        </w:tc>
        <w:tc>
          <w:tcPr>
            <w:tcW w:w="1026" w:type="dxa"/>
            <w:tcBorders>
              <w:top w:val="nil"/>
              <w:left w:val="nil"/>
              <w:bottom w:val="single" w:sz="4" w:space="0" w:color="auto"/>
              <w:right w:val="single" w:sz="4" w:space="0" w:color="auto"/>
            </w:tcBorders>
            <w:shd w:val="clear" w:color="auto" w:fill="auto"/>
            <w:noWrap/>
            <w:vAlign w:val="bottom"/>
            <w:hideMark/>
          </w:tcPr>
          <w:p w14:paraId="0A8DA069" w14:textId="77777777" w:rsidR="00C315E8" w:rsidRPr="00A40217" w:rsidRDefault="00C315E8" w:rsidP="00F02FAB">
            <w:pPr>
              <w:spacing w:after="0"/>
              <w:rPr>
                <w:rFonts w:eastAsia="Times New Roman" w:cstheme="minorHAnsi"/>
              </w:rPr>
            </w:pPr>
            <w:r w:rsidRPr="00A40217">
              <w:rPr>
                <w:rFonts w:eastAsia="Times New Roman" w:cstheme="minorHAnsi"/>
              </w:rPr>
              <w:t>27%</w:t>
            </w:r>
          </w:p>
        </w:tc>
        <w:tc>
          <w:tcPr>
            <w:tcW w:w="1108" w:type="dxa"/>
            <w:tcBorders>
              <w:top w:val="nil"/>
              <w:left w:val="nil"/>
              <w:bottom w:val="single" w:sz="4" w:space="0" w:color="auto"/>
              <w:right w:val="single" w:sz="4" w:space="0" w:color="auto"/>
            </w:tcBorders>
            <w:shd w:val="clear" w:color="auto" w:fill="auto"/>
            <w:noWrap/>
            <w:vAlign w:val="bottom"/>
            <w:hideMark/>
          </w:tcPr>
          <w:p w14:paraId="764F8C2C" w14:textId="77777777" w:rsidR="00C315E8" w:rsidRPr="00A40217" w:rsidRDefault="00C315E8" w:rsidP="00F02FAB">
            <w:pPr>
              <w:spacing w:after="0"/>
              <w:rPr>
                <w:rFonts w:eastAsia="Times New Roman" w:cstheme="minorHAnsi"/>
              </w:rPr>
            </w:pPr>
            <w:r w:rsidRPr="00A40217">
              <w:rPr>
                <w:rFonts w:eastAsia="Times New Roman" w:cstheme="minorHAnsi"/>
              </w:rPr>
              <w:t>28%</w:t>
            </w:r>
          </w:p>
        </w:tc>
      </w:tr>
      <w:tr w:rsidR="00C315E8" w:rsidRPr="00A40217" w14:paraId="4D2EA982" w14:textId="77777777" w:rsidTr="00F02FAB">
        <w:trPr>
          <w:trHeight w:hRule="exact" w:val="288"/>
          <w:jc w:val="center"/>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4EACBE" w14:textId="77777777" w:rsidR="00C315E8" w:rsidRPr="00A40217" w:rsidRDefault="00C315E8" w:rsidP="00F02FAB">
            <w:pPr>
              <w:spacing w:after="0"/>
              <w:rPr>
                <w:rFonts w:eastAsia="Times New Roman" w:cstheme="minorHAnsi"/>
              </w:rPr>
            </w:pPr>
            <w:r w:rsidRPr="00A40217">
              <w:rPr>
                <w:rFonts w:eastAsia="Times New Roman" w:cstheme="minorHAnsi"/>
              </w:rPr>
              <w:t>Other</w:t>
            </w:r>
          </w:p>
        </w:tc>
        <w:tc>
          <w:tcPr>
            <w:tcW w:w="1026" w:type="dxa"/>
            <w:tcBorders>
              <w:top w:val="single" w:sz="4" w:space="0" w:color="auto"/>
              <w:left w:val="nil"/>
              <w:bottom w:val="single" w:sz="4" w:space="0" w:color="auto"/>
              <w:right w:val="single" w:sz="4" w:space="0" w:color="auto"/>
            </w:tcBorders>
            <w:shd w:val="clear" w:color="auto" w:fill="auto"/>
            <w:noWrap/>
            <w:vAlign w:val="bottom"/>
            <w:hideMark/>
          </w:tcPr>
          <w:p w14:paraId="0A45D862" w14:textId="77777777" w:rsidR="00C315E8" w:rsidRPr="00A40217" w:rsidRDefault="00C315E8" w:rsidP="00F02FAB">
            <w:pPr>
              <w:spacing w:after="0"/>
              <w:rPr>
                <w:rFonts w:eastAsia="Times New Roman" w:cstheme="minorHAnsi"/>
              </w:rPr>
            </w:pPr>
            <w:r w:rsidRPr="00A40217">
              <w:rPr>
                <w:rFonts w:eastAsia="Times New Roman" w:cstheme="minorHAnsi"/>
              </w:rPr>
              <w:t>12%</w:t>
            </w:r>
          </w:p>
        </w:tc>
        <w:tc>
          <w:tcPr>
            <w:tcW w:w="1108" w:type="dxa"/>
            <w:tcBorders>
              <w:top w:val="single" w:sz="4" w:space="0" w:color="auto"/>
              <w:left w:val="nil"/>
              <w:bottom w:val="single" w:sz="4" w:space="0" w:color="auto"/>
              <w:right w:val="single" w:sz="4" w:space="0" w:color="auto"/>
            </w:tcBorders>
            <w:shd w:val="clear" w:color="auto" w:fill="auto"/>
            <w:noWrap/>
            <w:vAlign w:val="bottom"/>
            <w:hideMark/>
          </w:tcPr>
          <w:p w14:paraId="348AD589" w14:textId="77777777" w:rsidR="00C315E8" w:rsidRPr="00A40217" w:rsidRDefault="00C315E8" w:rsidP="00F02FAB">
            <w:pPr>
              <w:spacing w:after="0"/>
              <w:rPr>
                <w:rFonts w:eastAsia="Times New Roman" w:cstheme="minorHAnsi"/>
              </w:rPr>
            </w:pPr>
            <w:r w:rsidRPr="00A40217">
              <w:rPr>
                <w:rFonts w:eastAsia="Times New Roman" w:cstheme="minorHAnsi"/>
              </w:rPr>
              <w:t>4%</w:t>
            </w:r>
          </w:p>
        </w:tc>
      </w:tr>
      <w:tr w:rsidR="00C315E8" w:rsidRPr="00A40217" w14:paraId="08D41F73" w14:textId="77777777" w:rsidTr="00F02FAB">
        <w:trPr>
          <w:trHeight w:hRule="exact" w:val="288"/>
          <w:jc w:val="center"/>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29B7AC" w14:textId="77777777" w:rsidR="00C315E8" w:rsidRPr="00A40217" w:rsidRDefault="00C315E8" w:rsidP="00F02FAB">
            <w:pPr>
              <w:spacing w:after="0"/>
              <w:rPr>
                <w:rFonts w:eastAsia="Times New Roman" w:cstheme="minorHAnsi"/>
              </w:rPr>
            </w:pPr>
            <w:r w:rsidRPr="00A40217">
              <w:rPr>
                <w:rFonts w:eastAsia="Times New Roman" w:cstheme="minorHAnsi"/>
              </w:rPr>
              <w:t>All</w:t>
            </w:r>
          </w:p>
        </w:tc>
        <w:tc>
          <w:tcPr>
            <w:tcW w:w="1026" w:type="dxa"/>
            <w:tcBorders>
              <w:top w:val="single" w:sz="4" w:space="0" w:color="auto"/>
              <w:left w:val="nil"/>
              <w:bottom w:val="single" w:sz="4" w:space="0" w:color="auto"/>
              <w:right w:val="single" w:sz="4" w:space="0" w:color="auto"/>
            </w:tcBorders>
            <w:shd w:val="clear" w:color="auto" w:fill="auto"/>
            <w:noWrap/>
            <w:vAlign w:val="bottom"/>
          </w:tcPr>
          <w:p w14:paraId="6577F3FC" w14:textId="77777777" w:rsidR="00C315E8" w:rsidRPr="00A40217" w:rsidRDefault="00C315E8" w:rsidP="00F02FAB">
            <w:pPr>
              <w:spacing w:after="0"/>
              <w:rPr>
                <w:rFonts w:eastAsia="Times New Roman" w:cstheme="minorHAnsi"/>
              </w:rPr>
            </w:pPr>
            <w:r w:rsidRPr="00A40217">
              <w:rPr>
                <w:rFonts w:eastAsia="Times New Roman" w:cstheme="minorHAnsi"/>
              </w:rPr>
              <w:t>100%</w:t>
            </w:r>
          </w:p>
        </w:tc>
        <w:tc>
          <w:tcPr>
            <w:tcW w:w="1108" w:type="dxa"/>
            <w:tcBorders>
              <w:top w:val="single" w:sz="4" w:space="0" w:color="auto"/>
              <w:left w:val="nil"/>
              <w:bottom w:val="single" w:sz="4" w:space="0" w:color="auto"/>
              <w:right w:val="single" w:sz="4" w:space="0" w:color="auto"/>
            </w:tcBorders>
            <w:shd w:val="clear" w:color="auto" w:fill="auto"/>
            <w:noWrap/>
            <w:vAlign w:val="bottom"/>
          </w:tcPr>
          <w:p w14:paraId="45D7F4B8" w14:textId="77777777" w:rsidR="00C315E8" w:rsidRPr="00A40217" w:rsidRDefault="00C315E8" w:rsidP="00F02FAB">
            <w:pPr>
              <w:spacing w:after="0"/>
              <w:rPr>
                <w:rFonts w:eastAsia="Times New Roman" w:cstheme="minorHAnsi"/>
              </w:rPr>
            </w:pPr>
            <w:r w:rsidRPr="00A40217">
              <w:rPr>
                <w:rFonts w:eastAsia="Times New Roman" w:cstheme="minorHAnsi"/>
              </w:rPr>
              <w:t>100%</w:t>
            </w:r>
          </w:p>
        </w:tc>
      </w:tr>
    </w:tbl>
    <w:p w14:paraId="4CC721C5" w14:textId="5546C864" w:rsidR="00C315E8" w:rsidRPr="00A40217" w:rsidRDefault="00C315E8" w:rsidP="00C315E8">
      <w:pPr>
        <w:spacing w:after="0"/>
        <w:rPr>
          <w:rFonts w:cstheme="minorHAnsi"/>
        </w:rPr>
      </w:pPr>
      <w:r w:rsidRPr="00A40217">
        <w:rPr>
          <w:rFonts w:cstheme="minorHAnsi"/>
        </w:rPr>
        <w:t xml:space="preserve">After data cleaning, travel diaries from 70 localities and 1711 households (6844 individuals) were used. </w:t>
      </w:r>
      <w:r w:rsidR="009161CE" w:rsidRPr="00A40217">
        <w:rPr>
          <w:rFonts w:cstheme="minorHAnsi"/>
        </w:rPr>
        <w:t xml:space="preserve">Table 2 </w:t>
      </w:r>
      <w:r w:rsidRPr="00A40217">
        <w:rPr>
          <w:rFonts w:cstheme="minorHAnsi"/>
        </w:rPr>
        <w:t xml:space="preserve">presents a comparison of three household variables for the sampled households and the census conducted in 2011 (Census-India, 2012). The sample has an overrepresentation of households with 5 or fewer members, and those owning vehicles. </w:t>
      </w:r>
      <w:r w:rsidR="00002ACB" w:rsidRPr="00A40217">
        <w:rPr>
          <w:rFonts w:cstheme="minorHAnsi"/>
        </w:rPr>
        <w:t>To</w:t>
      </w:r>
      <w:r w:rsidRPr="00A40217">
        <w:rPr>
          <w:rFonts w:cstheme="minorHAnsi"/>
        </w:rPr>
        <w:t xml:space="preserve"> obtain a representative data for the whole population, post-stratification weights were estimated. For this, one-way table of percentage distribution of households classified by vehicle ownership and two-way table of categories of house ownership and size of household, from Census data of Delhi were used. For obtaining weights, iterative proportional fitting was used, which uses an iterative procedure in which the convergence is reached when the marginal distributions of the three variables (vehicle ownership, house ownership and number of members in a household) of the sampled population are almost the same as that of Census. The weights achieved for households were assumed same for all the constituent members. </w:t>
      </w:r>
    </w:p>
    <w:p w14:paraId="53E628C7" w14:textId="77777777" w:rsidR="00836C5D" w:rsidRPr="00A40217" w:rsidRDefault="00836C5D" w:rsidP="00C315E8">
      <w:pPr>
        <w:spacing w:after="0"/>
        <w:rPr>
          <w:rFonts w:cstheme="minorHAnsi"/>
        </w:rPr>
      </w:pPr>
    </w:p>
    <w:p w14:paraId="04437D4D" w14:textId="050F3503" w:rsidR="009B10FC" w:rsidRPr="00A40217" w:rsidRDefault="00A31326" w:rsidP="0000489C">
      <w:pPr>
        <w:pStyle w:val="Heading1"/>
        <w:spacing w:after="0"/>
        <w:rPr>
          <w:rFonts w:asciiTheme="minorHAnsi" w:hAnsiTheme="minorHAnsi" w:cstheme="minorHAnsi"/>
        </w:rPr>
      </w:pPr>
      <w:bookmarkStart w:id="13" w:name="_Toc85106180"/>
      <w:bookmarkEnd w:id="0"/>
      <w:r w:rsidRPr="00A40217">
        <w:rPr>
          <w:rFonts w:asciiTheme="minorHAnsi" w:hAnsiTheme="minorHAnsi" w:cstheme="minorHAnsi"/>
          <w:caps w:val="0"/>
        </w:rPr>
        <w:t>BASELINE HEALTH BURDEN</w:t>
      </w:r>
      <w:bookmarkEnd w:id="13"/>
    </w:p>
    <w:p w14:paraId="2186ABC4" w14:textId="6D96CB7A" w:rsidR="00D600D4" w:rsidRPr="00A40217" w:rsidRDefault="00D600D4" w:rsidP="00D600D4">
      <w:pPr>
        <w:rPr>
          <w:rFonts w:cstheme="minorHAnsi"/>
        </w:rPr>
      </w:pPr>
      <w:r w:rsidRPr="00A40217">
        <w:rPr>
          <w:rFonts w:cstheme="minorHAnsi"/>
        </w:rPr>
        <w:t xml:space="preserve">We used Indian GBD online tool </w:t>
      </w:r>
      <w:r w:rsidR="0000489C" w:rsidRPr="00A40217">
        <w:rPr>
          <w:rFonts w:cstheme="minorHAnsi"/>
        </w:rPr>
        <w:t xml:space="preserve">(https://vizhub.healthdata.org/gbd-compare/india) </w:t>
      </w:r>
      <w:r w:rsidRPr="00A40217">
        <w:rPr>
          <w:rFonts w:cstheme="minorHAnsi"/>
        </w:rPr>
        <w:t xml:space="preserve">for the baseline health burden of Delhi for year 2014. </w:t>
      </w:r>
      <w:r w:rsidR="007341E0">
        <w:rPr>
          <w:rFonts w:cstheme="minorHAnsi"/>
        </w:rPr>
        <w:t>T</w:t>
      </w:r>
      <w:r w:rsidR="006A7936" w:rsidRPr="00A40217">
        <w:rPr>
          <w:rFonts w:cstheme="minorHAnsi"/>
        </w:rPr>
        <w:t>able</w:t>
      </w:r>
      <w:r w:rsidR="007341E0">
        <w:rPr>
          <w:rFonts w:cstheme="minorHAnsi"/>
        </w:rPr>
        <w:t xml:space="preserve"> 3</w:t>
      </w:r>
      <w:r w:rsidR="006A7936" w:rsidRPr="00A40217">
        <w:rPr>
          <w:rFonts w:cstheme="minorHAnsi"/>
        </w:rPr>
        <w:t xml:space="preserve"> show</w:t>
      </w:r>
      <w:r w:rsidR="007341E0">
        <w:rPr>
          <w:rFonts w:cstheme="minorHAnsi"/>
        </w:rPr>
        <w:t>s</w:t>
      </w:r>
      <w:r w:rsidR="006A7936" w:rsidRPr="00A40217">
        <w:rPr>
          <w:rFonts w:cstheme="minorHAnsi"/>
        </w:rPr>
        <w:t xml:space="preserve"> age-specific</w:t>
      </w:r>
      <w:r w:rsidR="0093093E" w:rsidRPr="00A40217">
        <w:rPr>
          <w:rFonts w:cstheme="minorHAnsi"/>
        </w:rPr>
        <w:t xml:space="preserve"> deaths and</w:t>
      </w:r>
      <w:r w:rsidR="006A7936" w:rsidRPr="00A40217">
        <w:rPr>
          <w:rFonts w:cstheme="minorHAnsi"/>
        </w:rPr>
        <w:t xml:space="preserve"> DALYs for </w:t>
      </w:r>
      <w:r w:rsidR="007341E0" w:rsidRPr="00A40217">
        <w:rPr>
          <w:rFonts w:cstheme="minorHAnsi"/>
        </w:rPr>
        <w:t>traffic injuries</w:t>
      </w:r>
      <w:r w:rsidR="007341E0" w:rsidRPr="00A40217">
        <w:rPr>
          <w:rFonts w:cstheme="minorHAnsi"/>
        </w:rPr>
        <w:t xml:space="preserve"> </w:t>
      </w:r>
      <w:r w:rsidR="007341E0">
        <w:rPr>
          <w:rFonts w:cstheme="minorHAnsi"/>
        </w:rPr>
        <w:t xml:space="preserve">and </w:t>
      </w:r>
      <w:r w:rsidR="006A7936" w:rsidRPr="00A40217">
        <w:rPr>
          <w:rFonts w:cstheme="minorHAnsi"/>
        </w:rPr>
        <w:t xml:space="preserve">disease </w:t>
      </w:r>
      <w:proofErr w:type="gramStart"/>
      <w:r w:rsidR="006A7936" w:rsidRPr="00A40217">
        <w:rPr>
          <w:rFonts w:cstheme="minorHAnsi"/>
        </w:rPr>
        <w:t>end-points</w:t>
      </w:r>
      <w:proofErr w:type="gramEnd"/>
      <w:r w:rsidR="006A7936" w:rsidRPr="00A40217">
        <w:rPr>
          <w:rFonts w:cstheme="minorHAnsi"/>
        </w:rPr>
        <w:t xml:space="preserve"> </w:t>
      </w:r>
      <w:r w:rsidR="007341E0">
        <w:rPr>
          <w:rFonts w:cstheme="minorHAnsi"/>
        </w:rPr>
        <w:t>modelled through</w:t>
      </w:r>
      <w:r w:rsidR="006A7936" w:rsidRPr="00A40217">
        <w:rPr>
          <w:rFonts w:cstheme="minorHAnsi"/>
        </w:rPr>
        <w:t xml:space="preserve"> P</w:t>
      </w:r>
      <w:r w:rsidR="006A7936" w:rsidRPr="007341E0">
        <w:rPr>
          <w:rFonts w:cstheme="minorHAnsi"/>
        </w:rPr>
        <w:t>M</w:t>
      </w:r>
      <w:r w:rsidR="006A7936" w:rsidRPr="00A40217">
        <w:rPr>
          <w:rFonts w:cstheme="minorHAnsi"/>
          <w:vertAlign w:val="subscript"/>
        </w:rPr>
        <w:t>2.5</w:t>
      </w:r>
      <w:r w:rsidR="006A7936" w:rsidRPr="00A40217">
        <w:rPr>
          <w:rFonts w:cstheme="minorHAnsi"/>
        </w:rPr>
        <w:t xml:space="preserve"> pollution</w:t>
      </w:r>
      <w:r w:rsidR="007341E0">
        <w:rPr>
          <w:rFonts w:cstheme="minorHAnsi"/>
        </w:rPr>
        <w:t xml:space="preserve"> and Table 4 presents gender-stratified burden of disease end-points modelled through physical activity</w:t>
      </w:r>
      <w:r w:rsidR="00F04D42" w:rsidRPr="00A40217">
        <w:rPr>
          <w:rFonts w:cstheme="minorHAnsi"/>
        </w:rPr>
        <w:t>.</w:t>
      </w:r>
    </w:p>
    <w:p w14:paraId="55D52337" w14:textId="16C10EED" w:rsidR="00A8047C" w:rsidRPr="00A40217" w:rsidRDefault="00A8047C" w:rsidP="00A8047C">
      <w:pPr>
        <w:spacing w:after="0"/>
        <w:rPr>
          <w:rFonts w:cstheme="minorHAnsi"/>
          <w:b/>
          <w:bCs/>
        </w:rPr>
      </w:pPr>
      <w:r w:rsidRPr="00A40217">
        <w:rPr>
          <w:rFonts w:cstheme="minorHAnsi"/>
          <w:b/>
          <w:bCs/>
        </w:rPr>
        <w:t xml:space="preserve">Table </w:t>
      </w:r>
      <w:r w:rsidR="009161CE" w:rsidRPr="00A40217">
        <w:rPr>
          <w:rFonts w:cstheme="minorHAnsi"/>
          <w:b/>
          <w:bCs/>
        </w:rPr>
        <w:t>3</w:t>
      </w:r>
      <w:r w:rsidRPr="00A40217">
        <w:rPr>
          <w:rFonts w:cstheme="minorHAnsi"/>
          <w:b/>
          <w:bCs/>
        </w:rPr>
        <w:t xml:space="preserve">: Deaths and DALYs for PM2.5 related disease </w:t>
      </w:r>
      <w:proofErr w:type="gramStart"/>
      <w:r w:rsidRPr="00A40217">
        <w:rPr>
          <w:rFonts w:cstheme="minorHAnsi"/>
          <w:b/>
          <w:bCs/>
        </w:rPr>
        <w:t>end-points</w:t>
      </w:r>
      <w:proofErr w:type="gramEnd"/>
      <w:r w:rsidRPr="00A40217">
        <w:rPr>
          <w:rFonts w:cstheme="minorHAnsi"/>
          <w:b/>
          <w:bCs/>
        </w:rPr>
        <w:t xml:space="preserve"> and for road traffic injuries</w:t>
      </w:r>
    </w:p>
    <w:tbl>
      <w:tblPr>
        <w:tblW w:w="9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1"/>
        <w:gridCol w:w="1000"/>
        <w:gridCol w:w="1160"/>
        <w:gridCol w:w="1040"/>
        <w:gridCol w:w="1040"/>
        <w:gridCol w:w="1040"/>
        <w:gridCol w:w="1160"/>
        <w:gridCol w:w="1160"/>
        <w:gridCol w:w="1160"/>
      </w:tblGrid>
      <w:tr w:rsidR="00A8047C" w:rsidRPr="00A40217" w14:paraId="1AE148AD" w14:textId="77777777" w:rsidTr="00A8047C">
        <w:trPr>
          <w:trHeight w:val="288"/>
        </w:trPr>
        <w:tc>
          <w:tcPr>
            <w:tcW w:w="1071" w:type="dxa"/>
            <w:shd w:val="clear" w:color="auto" w:fill="auto"/>
            <w:noWrap/>
            <w:vAlign w:val="bottom"/>
            <w:hideMark/>
          </w:tcPr>
          <w:p w14:paraId="1BDBE29A" w14:textId="77777777" w:rsidR="00A8047C" w:rsidRPr="00A40217" w:rsidRDefault="00A8047C" w:rsidP="00A8047C">
            <w:pPr>
              <w:spacing w:after="0" w:line="240" w:lineRule="auto"/>
              <w:rPr>
                <w:rFonts w:eastAsia="Times New Roman" w:cstheme="minorHAnsi"/>
                <w:b/>
                <w:bCs/>
                <w:color w:val="000000"/>
                <w:sz w:val="18"/>
                <w:szCs w:val="18"/>
                <w:lang w:eastAsia="en-IN"/>
              </w:rPr>
            </w:pPr>
            <w:r w:rsidRPr="00A40217">
              <w:rPr>
                <w:rFonts w:eastAsia="Times New Roman" w:cstheme="minorHAnsi"/>
                <w:b/>
                <w:bCs/>
                <w:color w:val="000000"/>
                <w:sz w:val="18"/>
                <w:szCs w:val="18"/>
                <w:lang w:eastAsia="en-IN"/>
              </w:rPr>
              <w:t>Age</w:t>
            </w:r>
          </w:p>
        </w:tc>
        <w:tc>
          <w:tcPr>
            <w:tcW w:w="1000" w:type="dxa"/>
            <w:shd w:val="clear" w:color="auto" w:fill="auto"/>
            <w:noWrap/>
            <w:vAlign w:val="bottom"/>
            <w:hideMark/>
          </w:tcPr>
          <w:p w14:paraId="5D90E3E4" w14:textId="77777777" w:rsidR="00A8047C" w:rsidRPr="00A40217" w:rsidRDefault="00A8047C" w:rsidP="00A8047C">
            <w:pPr>
              <w:spacing w:after="0" w:line="240" w:lineRule="auto"/>
              <w:rPr>
                <w:rFonts w:eastAsia="Times New Roman" w:cstheme="minorHAnsi"/>
                <w:b/>
                <w:bCs/>
                <w:color w:val="000000"/>
                <w:sz w:val="18"/>
                <w:szCs w:val="18"/>
                <w:lang w:eastAsia="en-IN"/>
              </w:rPr>
            </w:pPr>
            <w:r w:rsidRPr="00A40217">
              <w:rPr>
                <w:rFonts w:eastAsia="Times New Roman" w:cstheme="minorHAnsi"/>
                <w:b/>
                <w:bCs/>
                <w:color w:val="000000"/>
                <w:sz w:val="18"/>
                <w:szCs w:val="18"/>
                <w:lang w:eastAsia="en-IN"/>
              </w:rPr>
              <w:t>Measure</w:t>
            </w:r>
          </w:p>
        </w:tc>
        <w:tc>
          <w:tcPr>
            <w:tcW w:w="1160" w:type="dxa"/>
            <w:shd w:val="clear" w:color="auto" w:fill="auto"/>
            <w:noWrap/>
            <w:vAlign w:val="bottom"/>
            <w:hideMark/>
          </w:tcPr>
          <w:p w14:paraId="1A8399A4" w14:textId="77777777" w:rsidR="00A8047C" w:rsidRPr="00A40217" w:rsidRDefault="00A8047C" w:rsidP="0093093E">
            <w:pPr>
              <w:spacing w:after="0" w:line="240" w:lineRule="auto"/>
              <w:jc w:val="right"/>
              <w:rPr>
                <w:rFonts w:eastAsia="Times New Roman" w:cstheme="minorHAnsi"/>
                <w:b/>
                <w:bCs/>
                <w:color w:val="000000"/>
                <w:sz w:val="18"/>
                <w:szCs w:val="18"/>
                <w:lang w:eastAsia="en-IN"/>
              </w:rPr>
            </w:pPr>
            <w:proofErr w:type="spellStart"/>
            <w:r w:rsidRPr="00A40217">
              <w:rPr>
                <w:rFonts w:eastAsia="Times New Roman" w:cstheme="minorHAnsi"/>
                <w:b/>
                <w:bCs/>
                <w:color w:val="000000"/>
                <w:sz w:val="18"/>
                <w:szCs w:val="18"/>
                <w:lang w:eastAsia="en-IN"/>
              </w:rPr>
              <w:t>cvd_ihd</w:t>
            </w:r>
            <w:proofErr w:type="spellEnd"/>
          </w:p>
        </w:tc>
        <w:tc>
          <w:tcPr>
            <w:tcW w:w="1040" w:type="dxa"/>
            <w:shd w:val="clear" w:color="auto" w:fill="auto"/>
            <w:noWrap/>
            <w:vAlign w:val="bottom"/>
            <w:hideMark/>
          </w:tcPr>
          <w:p w14:paraId="45A9ED10" w14:textId="77777777" w:rsidR="00A8047C" w:rsidRPr="00A40217" w:rsidRDefault="00A8047C" w:rsidP="0093093E">
            <w:pPr>
              <w:spacing w:after="0" w:line="240" w:lineRule="auto"/>
              <w:jc w:val="right"/>
              <w:rPr>
                <w:rFonts w:eastAsia="Times New Roman" w:cstheme="minorHAnsi"/>
                <w:b/>
                <w:bCs/>
                <w:color w:val="000000"/>
                <w:sz w:val="18"/>
                <w:szCs w:val="18"/>
                <w:lang w:eastAsia="en-IN"/>
              </w:rPr>
            </w:pPr>
            <w:proofErr w:type="spellStart"/>
            <w:r w:rsidRPr="00A40217">
              <w:rPr>
                <w:rFonts w:eastAsia="Times New Roman" w:cstheme="minorHAnsi"/>
                <w:b/>
                <w:bCs/>
                <w:color w:val="000000"/>
                <w:sz w:val="18"/>
                <w:szCs w:val="18"/>
                <w:lang w:eastAsia="en-IN"/>
              </w:rPr>
              <w:t>cvd_stroke</w:t>
            </w:r>
            <w:proofErr w:type="spellEnd"/>
          </w:p>
        </w:tc>
        <w:tc>
          <w:tcPr>
            <w:tcW w:w="1040" w:type="dxa"/>
            <w:shd w:val="clear" w:color="auto" w:fill="auto"/>
            <w:noWrap/>
            <w:vAlign w:val="bottom"/>
            <w:hideMark/>
          </w:tcPr>
          <w:p w14:paraId="22F85967" w14:textId="77777777" w:rsidR="00A8047C" w:rsidRPr="00A40217" w:rsidRDefault="00A8047C" w:rsidP="0093093E">
            <w:pPr>
              <w:spacing w:after="0" w:line="240" w:lineRule="auto"/>
              <w:jc w:val="right"/>
              <w:rPr>
                <w:rFonts w:eastAsia="Times New Roman" w:cstheme="minorHAnsi"/>
                <w:b/>
                <w:bCs/>
                <w:color w:val="000000"/>
                <w:sz w:val="18"/>
                <w:szCs w:val="18"/>
                <w:lang w:eastAsia="en-IN"/>
              </w:rPr>
            </w:pPr>
            <w:proofErr w:type="spellStart"/>
            <w:r w:rsidRPr="00A40217">
              <w:rPr>
                <w:rFonts w:eastAsia="Times New Roman" w:cstheme="minorHAnsi"/>
                <w:b/>
                <w:bCs/>
                <w:color w:val="000000"/>
                <w:sz w:val="18"/>
                <w:szCs w:val="18"/>
                <w:lang w:eastAsia="en-IN"/>
              </w:rPr>
              <w:t>lri</w:t>
            </w:r>
            <w:proofErr w:type="spellEnd"/>
          </w:p>
        </w:tc>
        <w:tc>
          <w:tcPr>
            <w:tcW w:w="1040" w:type="dxa"/>
            <w:shd w:val="clear" w:color="auto" w:fill="auto"/>
            <w:noWrap/>
            <w:vAlign w:val="bottom"/>
            <w:hideMark/>
          </w:tcPr>
          <w:p w14:paraId="2C8A8F0C" w14:textId="77777777" w:rsidR="00A8047C" w:rsidRPr="00A40217" w:rsidRDefault="00A8047C" w:rsidP="0093093E">
            <w:pPr>
              <w:spacing w:after="0" w:line="240" w:lineRule="auto"/>
              <w:jc w:val="right"/>
              <w:rPr>
                <w:rFonts w:eastAsia="Times New Roman" w:cstheme="minorHAnsi"/>
                <w:b/>
                <w:bCs/>
                <w:color w:val="000000"/>
                <w:sz w:val="18"/>
                <w:szCs w:val="18"/>
                <w:lang w:eastAsia="en-IN"/>
              </w:rPr>
            </w:pPr>
            <w:proofErr w:type="spellStart"/>
            <w:r w:rsidRPr="00A40217">
              <w:rPr>
                <w:rFonts w:eastAsia="Times New Roman" w:cstheme="minorHAnsi"/>
                <w:b/>
                <w:bCs/>
                <w:color w:val="000000"/>
                <w:sz w:val="18"/>
                <w:szCs w:val="18"/>
                <w:lang w:eastAsia="en-IN"/>
              </w:rPr>
              <w:t>neo_lung</w:t>
            </w:r>
            <w:proofErr w:type="spellEnd"/>
          </w:p>
        </w:tc>
        <w:tc>
          <w:tcPr>
            <w:tcW w:w="1160" w:type="dxa"/>
            <w:shd w:val="clear" w:color="auto" w:fill="auto"/>
            <w:noWrap/>
            <w:vAlign w:val="bottom"/>
            <w:hideMark/>
          </w:tcPr>
          <w:p w14:paraId="5A9E95E6" w14:textId="77777777" w:rsidR="00A8047C" w:rsidRPr="00A40217" w:rsidRDefault="00A8047C" w:rsidP="0093093E">
            <w:pPr>
              <w:spacing w:after="0" w:line="240" w:lineRule="auto"/>
              <w:jc w:val="right"/>
              <w:rPr>
                <w:rFonts w:eastAsia="Times New Roman" w:cstheme="minorHAnsi"/>
                <w:b/>
                <w:bCs/>
                <w:color w:val="000000"/>
                <w:sz w:val="18"/>
                <w:szCs w:val="18"/>
                <w:lang w:eastAsia="en-IN"/>
              </w:rPr>
            </w:pPr>
            <w:proofErr w:type="spellStart"/>
            <w:r w:rsidRPr="00A40217">
              <w:rPr>
                <w:rFonts w:eastAsia="Times New Roman" w:cstheme="minorHAnsi"/>
                <w:b/>
                <w:bCs/>
                <w:color w:val="000000"/>
                <w:sz w:val="18"/>
                <w:szCs w:val="18"/>
                <w:lang w:eastAsia="en-IN"/>
              </w:rPr>
              <w:t>resp_copd</w:t>
            </w:r>
            <w:proofErr w:type="spellEnd"/>
          </w:p>
        </w:tc>
        <w:tc>
          <w:tcPr>
            <w:tcW w:w="1160" w:type="dxa"/>
            <w:shd w:val="clear" w:color="auto" w:fill="auto"/>
            <w:noWrap/>
            <w:vAlign w:val="bottom"/>
            <w:hideMark/>
          </w:tcPr>
          <w:p w14:paraId="10E990E5" w14:textId="77777777" w:rsidR="00A8047C" w:rsidRPr="00A40217" w:rsidRDefault="00A8047C" w:rsidP="0093093E">
            <w:pPr>
              <w:spacing w:after="0" w:line="240" w:lineRule="auto"/>
              <w:jc w:val="right"/>
              <w:rPr>
                <w:rFonts w:eastAsia="Times New Roman" w:cstheme="minorHAnsi"/>
                <w:b/>
                <w:bCs/>
                <w:color w:val="000000"/>
                <w:sz w:val="18"/>
                <w:szCs w:val="18"/>
                <w:lang w:eastAsia="en-IN"/>
              </w:rPr>
            </w:pPr>
            <w:r w:rsidRPr="00A40217">
              <w:rPr>
                <w:rFonts w:eastAsia="Times New Roman" w:cstheme="minorHAnsi"/>
                <w:b/>
                <w:bCs/>
                <w:color w:val="000000"/>
                <w:sz w:val="18"/>
                <w:szCs w:val="18"/>
                <w:lang w:eastAsia="en-IN"/>
              </w:rPr>
              <w:t>t2d</w:t>
            </w:r>
          </w:p>
        </w:tc>
        <w:tc>
          <w:tcPr>
            <w:tcW w:w="1160" w:type="dxa"/>
            <w:shd w:val="clear" w:color="auto" w:fill="auto"/>
            <w:noWrap/>
            <w:vAlign w:val="bottom"/>
            <w:hideMark/>
          </w:tcPr>
          <w:p w14:paraId="6B6849BA" w14:textId="77777777" w:rsidR="00A8047C" w:rsidRPr="00A40217" w:rsidRDefault="00A8047C" w:rsidP="0093093E">
            <w:pPr>
              <w:spacing w:after="0" w:line="240" w:lineRule="auto"/>
              <w:jc w:val="right"/>
              <w:rPr>
                <w:rFonts w:eastAsia="Times New Roman" w:cstheme="minorHAnsi"/>
                <w:b/>
                <w:bCs/>
                <w:color w:val="000000"/>
                <w:sz w:val="18"/>
                <w:szCs w:val="18"/>
                <w:lang w:eastAsia="en-IN"/>
              </w:rPr>
            </w:pPr>
            <w:r w:rsidRPr="00A40217">
              <w:rPr>
                <w:rFonts w:eastAsia="Times New Roman" w:cstheme="minorHAnsi"/>
                <w:b/>
                <w:bCs/>
                <w:color w:val="000000"/>
                <w:sz w:val="18"/>
                <w:szCs w:val="18"/>
                <w:lang w:eastAsia="en-IN"/>
              </w:rPr>
              <w:t>RTI</w:t>
            </w:r>
          </w:p>
        </w:tc>
      </w:tr>
      <w:tr w:rsidR="00A8047C" w:rsidRPr="00A40217" w14:paraId="4FAED126" w14:textId="77777777" w:rsidTr="00A8047C">
        <w:trPr>
          <w:trHeight w:val="288"/>
        </w:trPr>
        <w:tc>
          <w:tcPr>
            <w:tcW w:w="1071" w:type="dxa"/>
            <w:shd w:val="clear" w:color="auto" w:fill="auto"/>
            <w:noWrap/>
            <w:vAlign w:val="bottom"/>
            <w:hideMark/>
          </w:tcPr>
          <w:p w14:paraId="4FADE219"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15-19 years</w:t>
            </w:r>
          </w:p>
        </w:tc>
        <w:tc>
          <w:tcPr>
            <w:tcW w:w="1000" w:type="dxa"/>
            <w:shd w:val="clear" w:color="auto" w:fill="auto"/>
            <w:noWrap/>
            <w:vAlign w:val="bottom"/>
            <w:hideMark/>
          </w:tcPr>
          <w:p w14:paraId="5CC7BD56"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Deaths</w:t>
            </w:r>
          </w:p>
        </w:tc>
        <w:tc>
          <w:tcPr>
            <w:tcW w:w="1160" w:type="dxa"/>
            <w:shd w:val="clear" w:color="auto" w:fill="auto"/>
            <w:noWrap/>
            <w:vAlign w:val="bottom"/>
            <w:hideMark/>
          </w:tcPr>
          <w:p w14:paraId="75B7676D"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35</w:t>
            </w:r>
          </w:p>
        </w:tc>
        <w:tc>
          <w:tcPr>
            <w:tcW w:w="1040" w:type="dxa"/>
            <w:shd w:val="clear" w:color="auto" w:fill="auto"/>
            <w:noWrap/>
            <w:vAlign w:val="bottom"/>
            <w:hideMark/>
          </w:tcPr>
          <w:p w14:paraId="1807C2FA"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w:t>
            </w:r>
          </w:p>
        </w:tc>
        <w:tc>
          <w:tcPr>
            <w:tcW w:w="1040" w:type="dxa"/>
            <w:shd w:val="clear" w:color="auto" w:fill="auto"/>
            <w:noWrap/>
            <w:vAlign w:val="bottom"/>
            <w:hideMark/>
          </w:tcPr>
          <w:p w14:paraId="7CCFA664"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21</w:t>
            </w:r>
          </w:p>
        </w:tc>
        <w:tc>
          <w:tcPr>
            <w:tcW w:w="1040" w:type="dxa"/>
            <w:shd w:val="clear" w:color="auto" w:fill="auto"/>
            <w:noWrap/>
            <w:vAlign w:val="bottom"/>
            <w:hideMark/>
          </w:tcPr>
          <w:p w14:paraId="452F45A9"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w:t>
            </w:r>
          </w:p>
        </w:tc>
        <w:tc>
          <w:tcPr>
            <w:tcW w:w="1160" w:type="dxa"/>
            <w:shd w:val="clear" w:color="auto" w:fill="auto"/>
            <w:noWrap/>
            <w:vAlign w:val="bottom"/>
            <w:hideMark/>
          </w:tcPr>
          <w:p w14:paraId="41903DA2"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w:t>
            </w:r>
          </w:p>
        </w:tc>
        <w:tc>
          <w:tcPr>
            <w:tcW w:w="1160" w:type="dxa"/>
            <w:shd w:val="clear" w:color="auto" w:fill="auto"/>
            <w:noWrap/>
            <w:vAlign w:val="bottom"/>
            <w:hideMark/>
          </w:tcPr>
          <w:p w14:paraId="55995681"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4</w:t>
            </w:r>
          </w:p>
        </w:tc>
        <w:tc>
          <w:tcPr>
            <w:tcW w:w="1160" w:type="dxa"/>
            <w:shd w:val="clear" w:color="auto" w:fill="auto"/>
            <w:noWrap/>
            <w:vAlign w:val="bottom"/>
            <w:hideMark/>
          </w:tcPr>
          <w:p w14:paraId="769866DB"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133</w:t>
            </w:r>
          </w:p>
        </w:tc>
      </w:tr>
      <w:tr w:rsidR="00A8047C" w:rsidRPr="00A40217" w14:paraId="7DD5363F" w14:textId="77777777" w:rsidTr="00A8047C">
        <w:trPr>
          <w:trHeight w:val="288"/>
        </w:trPr>
        <w:tc>
          <w:tcPr>
            <w:tcW w:w="1071" w:type="dxa"/>
            <w:shd w:val="clear" w:color="auto" w:fill="auto"/>
            <w:noWrap/>
            <w:vAlign w:val="bottom"/>
            <w:hideMark/>
          </w:tcPr>
          <w:p w14:paraId="009A86BC"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20-24 years</w:t>
            </w:r>
          </w:p>
        </w:tc>
        <w:tc>
          <w:tcPr>
            <w:tcW w:w="1000" w:type="dxa"/>
            <w:shd w:val="clear" w:color="auto" w:fill="auto"/>
            <w:noWrap/>
            <w:vAlign w:val="bottom"/>
            <w:hideMark/>
          </w:tcPr>
          <w:p w14:paraId="432F8B4D"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Deaths</w:t>
            </w:r>
          </w:p>
        </w:tc>
        <w:tc>
          <w:tcPr>
            <w:tcW w:w="1160" w:type="dxa"/>
            <w:shd w:val="clear" w:color="auto" w:fill="auto"/>
            <w:noWrap/>
            <w:vAlign w:val="bottom"/>
            <w:hideMark/>
          </w:tcPr>
          <w:p w14:paraId="11FFDAE0"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102</w:t>
            </w:r>
          </w:p>
        </w:tc>
        <w:tc>
          <w:tcPr>
            <w:tcW w:w="1040" w:type="dxa"/>
            <w:shd w:val="clear" w:color="auto" w:fill="auto"/>
            <w:noWrap/>
            <w:vAlign w:val="bottom"/>
            <w:hideMark/>
          </w:tcPr>
          <w:p w14:paraId="1F7C7069"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w:t>
            </w:r>
          </w:p>
        </w:tc>
        <w:tc>
          <w:tcPr>
            <w:tcW w:w="1040" w:type="dxa"/>
            <w:shd w:val="clear" w:color="auto" w:fill="auto"/>
            <w:noWrap/>
            <w:vAlign w:val="bottom"/>
            <w:hideMark/>
          </w:tcPr>
          <w:p w14:paraId="03F125FE"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24</w:t>
            </w:r>
          </w:p>
        </w:tc>
        <w:tc>
          <w:tcPr>
            <w:tcW w:w="1040" w:type="dxa"/>
            <w:shd w:val="clear" w:color="auto" w:fill="auto"/>
            <w:noWrap/>
            <w:vAlign w:val="bottom"/>
            <w:hideMark/>
          </w:tcPr>
          <w:p w14:paraId="554B3D71"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w:t>
            </w:r>
          </w:p>
        </w:tc>
        <w:tc>
          <w:tcPr>
            <w:tcW w:w="1160" w:type="dxa"/>
            <w:shd w:val="clear" w:color="auto" w:fill="auto"/>
            <w:noWrap/>
            <w:vAlign w:val="bottom"/>
            <w:hideMark/>
          </w:tcPr>
          <w:p w14:paraId="4280EC6C"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4</w:t>
            </w:r>
          </w:p>
        </w:tc>
        <w:tc>
          <w:tcPr>
            <w:tcW w:w="1160" w:type="dxa"/>
            <w:shd w:val="clear" w:color="auto" w:fill="auto"/>
            <w:noWrap/>
            <w:vAlign w:val="bottom"/>
            <w:hideMark/>
          </w:tcPr>
          <w:p w14:paraId="66FAB2F0"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5</w:t>
            </w:r>
          </w:p>
        </w:tc>
        <w:tc>
          <w:tcPr>
            <w:tcW w:w="1160" w:type="dxa"/>
            <w:shd w:val="clear" w:color="auto" w:fill="auto"/>
            <w:noWrap/>
            <w:vAlign w:val="bottom"/>
            <w:hideMark/>
          </w:tcPr>
          <w:p w14:paraId="3AAF9ADF"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270</w:t>
            </w:r>
          </w:p>
        </w:tc>
      </w:tr>
      <w:tr w:rsidR="00A8047C" w:rsidRPr="00A40217" w14:paraId="05C668CD" w14:textId="77777777" w:rsidTr="00A8047C">
        <w:trPr>
          <w:trHeight w:val="288"/>
        </w:trPr>
        <w:tc>
          <w:tcPr>
            <w:tcW w:w="1071" w:type="dxa"/>
            <w:shd w:val="clear" w:color="auto" w:fill="auto"/>
            <w:noWrap/>
            <w:vAlign w:val="bottom"/>
            <w:hideMark/>
          </w:tcPr>
          <w:p w14:paraId="778F1BE6"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25-29 years</w:t>
            </w:r>
          </w:p>
        </w:tc>
        <w:tc>
          <w:tcPr>
            <w:tcW w:w="1000" w:type="dxa"/>
            <w:shd w:val="clear" w:color="auto" w:fill="auto"/>
            <w:noWrap/>
            <w:vAlign w:val="bottom"/>
            <w:hideMark/>
          </w:tcPr>
          <w:p w14:paraId="482E4110"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Deaths</w:t>
            </w:r>
          </w:p>
        </w:tc>
        <w:tc>
          <w:tcPr>
            <w:tcW w:w="1160" w:type="dxa"/>
            <w:shd w:val="clear" w:color="auto" w:fill="auto"/>
            <w:noWrap/>
            <w:vAlign w:val="bottom"/>
            <w:hideMark/>
          </w:tcPr>
          <w:p w14:paraId="3182DC0E"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184</w:t>
            </w:r>
          </w:p>
        </w:tc>
        <w:tc>
          <w:tcPr>
            <w:tcW w:w="1040" w:type="dxa"/>
            <w:shd w:val="clear" w:color="auto" w:fill="auto"/>
            <w:noWrap/>
            <w:vAlign w:val="bottom"/>
            <w:hideMark/>
          </w:tcPr>
          <w:p w14:paraId="0440C561"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3</w:t>
            </w:r>
          </w:p>
        </w:tc>
        <w:tc>
          <w:tcPr>
            <w:tcW w:w="1040" w:type="dxa"/>
            <w:shd w:val="clear" w:color="auto" w:fill="auto"/>
            <w:noWrap/>
            <w:vAlign w:val="bottom"/>
            <w:hideMark/>
          </w:tcPr>
          <w:p w14:paraId="43E0C7DF"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32</w:t>
            </w:r>
          </w:p>
        </w:tc>
        <w:tc>
          <w:tcPr>
            <w:tcW w:w="1040" w:type="dxa"/>
            <w:shd w:val="clear" w:color="auto" w:fill="auto"/>
            <w:noWrap/>
            <w:vAlign w:val="bottom"/>
            <w:hideMark/>
          </w:tcPr>
          <w:p w14:paraId="2160813E"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5</w:t>
            </w:r>
          </w:p>
        </w:tc>
        <w:tc>
          <w:tcPr>
            <w:tcW w:w="1160" w:type="dxa"/>
            <w:shd w:val="clear" w:color="auto" w:fill="auto"/>
            <w:noWrap/>
            <w:vAlign w:val="bottom"/>
            <w:hideMark/>
          </w:tcPr>
          <w:p w14:paraId="0E4AE917"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8</w:t>
            </w:r>
          </w:p>
        </w:tc>
        <w:tc>
          <w:tcPr>
            <w:tcW w:w="1160" w:type="dxa"/>
            <w:shd w:val="clear" w:color="auto" w:fill="auto"/>
            <w:noWrap/>
            <w:vAlign w:val="bottom"/>
            <w:hideMark/>
          </w:tcPr>
          <w:p w14:paraId="6ADCC85B"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9</w:t>
            </w:r>
          </w:p>
        </w:tc>
        <w:tc>
          <w:tcPr>
            <w:tcW w:w="1160" w:type="dxa"/>
            <w:shd w:val="clear" w:color="auto" w:fill="auto"/>
            <w:noWrap/>
            <w:vAlign w:val="bottom"/>
            <w:hideMark/>
          </w:tcPr>
          <w:p w14:paraId="32FF4352"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232</w:t>
            </w:r>
          </w:p>
        </w:tc>
      </w:tr>
      <w:tr w:rsidR="00A8047C" w:rsidRPr="00A40217" w14:paraId="164DAA6A" w14:textId="77777777" w:rsidTr="00A8047C">
        <w:trPr>
          <w:trHeight w:val="288"/>
        </w:trPr>
        <w:tc>
          <w:tcPr>
            <w:tcW w:w="1071" w:type="dxa"/>
            <w:shd w:val="clear" w:color="auto" w:fill="auto"/>
            <w:noWrap/>
            <w:vAlign w:val="bottom"/>
            <w:hideMark/>
          </w:tcPr>
          <w:p w14:paraId="27AF22F1"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30-34 years</w:t>
            </w:r>
          </w:p>
        </w:tc>
        <w:tc>
          <w:tcPr>
            <w:tcW w:w="1000" w:type="dxa"/>
            <w:shd w:val="clear" w:color="auto" w:fill="auto"/>
            <w:noWrap/>
            <w:vAlign w:val="bottom"/>
            <w:hideMark/>
          </w:tcPr>
          <w:p w14:paraId="04DC404F"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Deaths</w:t>
            </w:r>
          </w:p>
        </w:tc>
        <w:tc>
          <w:tcPr>
            <w:tcW w:w="1160" w:type="dxa"/>
            <w:shd w:val="clear" w:color="auto" w:fill="auto"/>
            <w:noWrap/>
            <w:vAlign w:val="bottom"/>
            <w:hideMark/>
          </w:tcPr>
          <w:p w14:paraId="109BD87D"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255</w:t>
            </w:r>
          </w:p>
        </w:tc>
        <w:tc>
          <w:tcPr>
            <w:tcW w:w="1040" w:type="dxa"/>
            <w:shd w:val="clear" w:color="auto" w:fill="auto"/>
            <w:noWrap/>
            <w:vAlign w:val="bottom"/>
            <w:hideMark/>
          </w:tcPr>
          <w:p w14:paraId="45CCF951"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4</w:t>
            </w:r>
          </w:p>
        </w:tc>
        <w:tc>
          <w:tcPr>
            <w:tcW w:w="1040" w:type="dxa"/>
            <w:shd w:val="clear" w:color="auto" w:fill="auto"/>
            <w:noWrap/>
            <w:vAlign w:val="bottom"/>
            <w:hideMark/>
          </w:tcPr>
          <w:p w14:paraId="63858452"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31</w:t>
            </w:r>
          </w:p>
        </w:tc>
        <w:tc>
          <w:tcPr>
            <w:tcW w:w="1040" w:type="dxa"/>
            <w:shd w:val="clear" w:color="auto" w:fill="auto"/>
            <w:noWrap/>
            <w:vAlign w:val="bottom"/>
            <w:hideMark/>
          </w:tcPr>
          <w:p w14:paraId="14322D36"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11</w:t>
            </w:r>
          </w:p>
        </w:tc>
        <w:tc>
          <w:tcPr>
            <w:tcW w:w="1160" w:type="dxa"/>
            <w:shd w:val="clear" w:color="auto" w:fill="auto"/>
            <w:noWrap/>
            <w:vAlign w:val="bottom"/>
            <w:hideMark/>
          </w:tcPr>
          <w:p w14:paraId="63FD27EA"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12</w:t>
            </w:r>
          </w:p>
        </w:tc>
        <w:tc>
          <w:tcPr>
            <w:tcW w:w="1160" w:type="dxa"/>
            <w:shd w:val="clear" w:color="auto" w:fill="auto"/>
            <w:noWrap/>
            <w:vAlign w:val="bottom"/>
            <w:hideMark/>
          </w:tcPr>
          <w:p w14:paraId="01F117CD"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18</w:t>
            </w:r>
          </w:p>
        </w:tc>
        <w:tc>
          <w:tcPr>
            <w:tcW w:w="1160" w:type="dxa"/>
            <w:shd w:val="clear" w:color="auto" w:fill="auto"/>
            <w:noWrap/>
            <w:vAlign w:val="bottom"/>
            <w:hideMark/>
          </w:tcPr>
          <w:p w14:paraId="192AB425"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188</w:t>
            </w:r>
          </w:p>
        </w:tc>
      </w:tr>
      <w:tr w:rsidR="00A8047C" w:rsidRPr="00A40217" w14:paraId="43EE0028" w14:textId="77777777" w:rsidTr="00A8047C">
        <w:trPr>
          <w:trHeight w:val="288"/>
        </w:trPr>
        <w:tc>
          <w:tcPr>
            <w:tcW w:w="1071" w:type="dxa"/>
            <w:shd w:val="clear" w:color="auto" w:fill="auto"/>
            <w:noWrap/>
            <w:vAlign w:val="bottom"/>
            <w:hideMark/>
          </w:tcPr>
          <w:p w14:paraId="3C8F6D1D"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35-39 years</w:t>
            </w:r>
          </w:p>
        </w:tc>
        <w:tc>
          <w:tcPr>
            <w:tcW w:w="1000" w:type="dxa"/>
            <w:shd w:val="clear" w:color="auto" w:fill="auto"/>
            <w:noWrap/>
            <w:vAlign w:val="bottom"/>
            <w:hideMark/>
          </w:tcPr>
          <w:p w14:paraId="6559CBBF"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Deaths</w:t>
            </w:r>
          </w:p>
        </w:tc>
        <w:tc>
          <w:tcPr>
            <w:tcW w:w="1160" w:type="dxa"/>
            <w:shd w:val="clear" w:color="auto" w:fill="auto"/>
            <w:noWrap/>
            <w:vAlign w:val="bottom"/>
            <w:hideMark/>
          </w:tcPr>
          <w:p w14:paraId="40EA52E7"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400</w:t>
            </w:r>
          </w:p>
        </w:tc>
        <w:tc>
          <w:tcPr>
            <w:tcW w:w="1040" w:type="dxa"/>
            <w:shd w:val="clear" w:color="auto" w:fill="auto"/>
            <w:noWrap/>
            <w:vAlign w:val="bottom"/>
            <w:hideMark/>
          </w:tcPr>
          <w:p w14:paraId="787B2CB3"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7</w:t>
            </w:r>
          </w:p>
        </w:tc>
        <w:tc>
          <w:tcPr>
            <w:tcW w:w="1040" w:type="dxa"/>
            <w:shd w:val="clear" w:color="auto" w:fill="auto"/>
            <w:noWrap/>
            <w:vAlign w:val="bottom"/>
            <w:hideMark/>
          </w:tcPr>
          <w:p w14:paraId="286EC57E"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34</w:t>
            </w:r>
          </w:p>
        </w:tc>
        <w:tc>
          <w:tcPr>
            <w:tcW w:w="1040" w:type="dxa"/>
            <w:shd w:val="clear" w:color="auto" w:fill="auto"/>
            <w:noWrap/>
            <w:vAlign w:val="bottom"/>
            <w:hideMark/>
          </w:tcPr>
          <w:p w14:paraId="3C9B2CFE"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20</w:t>
            </w:r>
          </w:p>
        </w:tc>
        <w:tc>
          <w:tcPr>
            <w:tcW w:w="1160" w:type="dxa"/>
            <w:shd w:val="clear" w:color="auto" w:fill="auto"/>
            <w:noWrap/>
            <w:vAlign w:val="bottom"/>
            <w:hideMark/>
          </w:tcPr>
          <w:p w14:paraId="2819EB49"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18</w:t>
            </w:r>
          </w:p>
        </w:tc>
        <w:tc>
          <w:tcPr>
            <w:tcW w:w="1160" w:type="dxa"/>
            <w:shd w:val="clear" w:color="auto" w:fill="auto"/>
            <w:noWrap/>
            <w:vAlign w:val="bottom"/>
            <w:hideMark/>
          </w:tcPr>
          <w:p w14:paraId="05640F4A"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20</w:t>
            </w:r>
          </w:p>
        </w:tc>
        <w:tc>
          <w:tcPr>
            <w:tcW w:w="1160" w:type="dxa"/>
            <w:shd w:val="clear" w:color="auto" w:fill="auto"/>
            <w:noWrap/>
            <w:vAlign w:val="bottom"/>
            <w:hideMark/>
          </w:tcPr>
          <w:p w14:paraId="6AAB2D19"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149</w:t>
            </w:r>
          </w:p>
        </w:tc>
      </w:tr>
      <w:tr w:rsidR="00A8047C" w:rsidRPr="00A40217" w14:paraId="4E80DAB5" w14:textId="77777777" w:rsidTr="00A8047C">
        <w:trPr>
          <w:trHeight w:val="288"/>
        </w:trPr>
        <w:tc>
          <w:tcPr>
            <w:tcW w:w="1071" w:type="dxa"/>
            <w:shd w:val="clear" w:color="auto" w:fill="auto"/>
            <w:noWrap/>
            <w:vAlign w:val="bottom"/>
            <w:hideMark/>
          </w:tcPr>
          <w:p w14:paraId="1C88E3D6"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40-44 years</w:t>
            </w:r>
          </w:p>
        </w:tc>
        <w:tc>
          <w:tcPr>
            <w:tcW w:w="1000" w:type="dxa"/>
            <w:shd w:val="clear" w:color="auto" w:fill="auto"/>
            <w:noWrap/>
            <w:vAlign w:val="bottom"/>
            <w:hideMark/>
          </w:tcPr>
          <w:p w14:paraId="4A995265"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Deaths</w:t>
            </w:r>
          </w:p>
        </w:tc>
        <w:tc>
          <w:tcPr>
            <w:tcW w:w="1160" w:type="dxa"/>
            <w:shd w:val="clear" w:color="auto" w:fill="auto"/>
            <w:noWrap/>
            <w:vAlign w:val="bottom"/>
            <w:hideMark/>
          </w:tcPr>
          <w:p w14:paraId="76FADBBB"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570</w:t>
            </w:r>
          </w:p>
        </w:tc>
        <w:tc>
          <w:tcPr>
            <w:tcW w:w="1040" w:type="dxa"/>
            <w:shd w:val="clear" w:color="auto" w:fill="auto"/>
            <w:noWrap/>
            <w:vAlign w:val="bottom"/>
            <w:hideMark/>
          </w:tcPr>
          <w:p w14:paraId="10CC9C7B"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11</w:t>
            </w:r>
          </w:p>
        </w:tc>
        <w:tc>
          <w:tcPr>
            <w:tcW w:w="1040" w:type="dxa"/>
            <w:shd w:val="clear" w:color="auto" w:fill="auto"/>
            <w:noWrap/>
            <w:vAlign w:val="bottom"/>
            <w:hideMark/>
          </w:tcPr>
          <w:p w14:paraId="149BE4CA"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40</w:t>
            </w:r>
          </w:p>
        </w:tc>
        <w:tc>
          <w:tcPr>
            <w:tcW w:w="1040" w:type="dxa"/>
            <w:shd w:val="clear" w:color="auto" w:fill="auto"/>
            <w:noWrap/>
            <w:vAlign w:val="bottom"/>
            <w:hideMark/>
          </w:tcPr>
          <w:p w14:paraId="3BA4E583"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45</w:t>
            </w:r>
          </w:p>
        </w:tc>
        <w:tc>
          <w:tcPr>
            <w:tcW w:w="1160" w:type="dxa"/>
            <w:shd w:val="clear" w:color="auto" w:fill="auto"/>
            <w:noWrap/>
            <w:vAlign w:val="bottom"/>
            <w:hideMark/>
          </w:tcPr>
          <w:p w14:paraId="40059B0C"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36</w:t>
            </w:r>
          </w:p>
        </w:tc>
        <w:tc>
          <w:tcPr>
            <w:tcW w:w="1160" w:type="dxa"/>
            <w:shd w:val="clear" w:color="auto" w:fill="auto"/>
            <w:noWrap/>
            <w:vAlign w:val="bottom"/>
            <w:hideMark/>
          </w:tcPr>
          <w:p w14:paraId="3219E7A3"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46</w:t>
            </w:r>
          </w:p>
        </w:tc>
        <w:tc>
          <w:tcPr>
            <w:tcW w:w="1160" w:type="dxa"/>
            <w:shd w:val="clear" w:color="auto" w:fill="auto"/>
            <w:noWrap/>
            <w:vAlign w:val="bottom"/>
            <w:hideMark/>
          </w:tcPr>
          <w:p w14:paraId="26D82E9C"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136</w:t>
            </w:r>
          </w:p>
        </w:tc>
      </w:tr>
      <w:tr w:rsidR="00A8047C" w:rsidRPr="00A40217" w14:paraId="573C1CC7" w14:textId="77777777" w:rsidTr="00A8047C">
        <w:trPr>
          <w:trHeight w:val="288"/>
        </w:trPr>
        <w:tc>
          <w:tcPr>
            <w:tcW w:w="1071" w:type="dxa"/>
            <w:shd w:val="clear" w:color="auto" w:fill="auto"/>
            <w:noWrap/>
            <w:vAlign w:val="bottom"/>
            <w:hideMark/>
          </w:tcPr>
          <w:p w14:paraId="405328E5"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45-49 years</w:t>
            </w:r>
          </w:p>
        </w:tc>
        <w:tc>
          <w:tcPr>
            <w:tcW w:w="1000" w:type="dxa"/>
            <w:shd w:val="clear" w:color="auto" w:fill="auto"/>
            <w:noWrap/>
            <w:vAlign w:val="bottom"/>
            <w:hideMark/>
          </w:tcPr>
          <w:p w14:paraId="5154BC8C"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Deaths</w:t>
            </w:r>
          </w:p>
        </w:tc>
        <w:tc>
          <w:tcPr>
            <w:tcW w:w="1160" w:type="dxa"/>
            <w:shd w:val="clear" w:color="auto" w:fill="auto"/>
            <w:noWrap/>
            <w:vAlign w:val="bottom"/>
            <w:hideMark/>
          </w:tcPr>
          <w:p w14:paraId="3AD21B28"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909</w:t>
            </w:r>
          </w:p>
        </w:tc>
        <w:tc>
          <w:tcPr>
            <w:tcW w:w="1040" w:type="dxa"/>
            <w:shd w:val="clear" w:color="auto" w:fill="auto"/>
            <w:noWrap/>
            <w:vAlign w:val="bottom"/>
            <w:hideMark/>
          </w:tcPr>
          <w:p w14:paraId="29688E45"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22</w:t>
            </w:r>
          </w:p>
        </w:tc>
        <w:tc>
          <w:tcPr>
            <w:tcW w:w="1040" w:type="dxa"/>
            <w:shd w:val="clear" w:color="auto" w:fill="auto"/>
            <w:noWrap/>
            <w:vAlign w:val="bottom"/>
            <w:hideMark/>
          </w:tcPr>
          <w:p w14:paraId="2B26C482"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49</w:t>
            </w:r>
          </w:p>
        </w:tc>
        <w:tc>
          <w:tcPr>
            <w:tcW w:w="1040" w:type="dxa"/>
            <w:shd w:val="clear" w:color="auto" w:fill="auto"/>
            <w:noWrap/>
            <w:vAlign w:val="bottom"/>
            <w:hideMark/>
          </w:tcPr>
          <w:p w14:paraId="094D8818"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75</w:t>
            </w:r>
          </w:p>
        </w:tc>
        <w:tc>
          <w:tcPr>
            <w:tcW w:w="1160" w:type="dxa"/>
            <w:shd w:val="clear" w:color="auto" w:fill="auto"/>
            <w:noWrap/>
            <w:vAlign w:val="bottom"/>
            <w:hideMark/>
          </w:tcPr>
          <w:p w14:paraId="7E6AC486"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78</w:t>
            </w:r>
          </w:p>
        </w:tc>
        <w:tc>
          <w:tcPr>
            <w:tcW w:w="1160" w:type="dxa"/>
            <w:shd w:val="clear" w:color="auto" w:fill="auto"/>
            <w:noWrap/>
            <w:vAlign w:val="bottom"/>
            <w:hideMark/>
          </w:tcPr>
          <w:p w14:paraId="610257A4"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91</w:t>
            </w:r>
          </w:p>
        </w:tc>
        <w:tc>
          <w:tcPr>
            <w:tcW w:w="1160" w:type="dxa"/>
            <w:shd w:val="clear" w:color="auto" w:fill="auto"/>
            <w:noWrap/>
            <w:vAlign w:val="bottom"/>
            <w:hideMark/>
          </w:tcPr>
          <w:p w14:paraId="31E91E4C"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138</w:t>
            </w:r>
          </w:p>
        </w:tc>
      </w:tr>
      <w:tr w:rsidR="00A8047C" w:rsidRPr="00A40217" w14:paraId="6B2E9245" w14:textId="77777777" w:rsidTr="00A8047C">
        <w:trPr>
          <w:trHeight w:val="288"/>
        </w:trPr>
        <w:tc>
          <w:tcPr>
            <w:tcW w:w="1071" w:type="dxa"/>
            <w:shd w:val="clear" w:color="auto" w:fill="auto"/>
            <w:noWrap/>
            <w:vAlign w:val="bottom"/>
            <w:hideMark/>
          </w:tcPr>
          <w:p w14:paraId="3828EFF6"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50-54 years</w:t>
            </w:r>
          </w:p>
        </w:tc>
        <w:tc>
          <w:tcPr>
            <w:tcW w:w="1000" w:type="dxa"/>
            <w:shd w:val="clear" w:color="auto" w:fill="auto"/>
            <w:noWrap/>
            <w:vAlign w:val="bottom"/>
            <w:hideMark/>
          </w:tcPr>
          <w:p w14:paraId="158A78E7"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Deaths</w:t>
            </w:r>
          </w:p>
        </w:tc>
        <w:tc>
          <w:tcPr>
            <w:tcW w:w="1160" w:type="dxa"/>
            <w:shd w:val="clear" w:color="auto" w:fill="auto"/>
            <w:noWrap/>
            <w:vAlign w:val="bottom"/>
            <w:hideMark/>
          </w:tcPr>
          <w:p w14:paraId="7C4CE2CC"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1233</w:t>
            </w:r>
          </w:p>
        </w:tc>
        <w:tc>
          <w:tcPr>
            <w:tcW w:w="1040" w:type="dxa"/>
            <w:shd w:val="clear" w:color="auto" w:fill="auto"/>
            <w:noWrap/>
            <w:vAlign w:val="bottom"/>
            <w:hideMark/>
          </w:tcPr>
          <w:p w14:paraId="2CA5A4BF"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40</w:t>
            </w:r>
          </w:p>
        </w:tc>
        <w:tc>
          <w:tcPr>
            <w:tcW w:w="1040" w:type="dxa"/>
            <w:shd w:val="clear" w:color="auto" w:fill="auto"/>
            <w:noWrap/>
            <w:vAlign w:val="bottom"/>
            <w:hideMark/>
          </w:tcPr>
          <w:p w14:paraId="69ADF7F2"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73</w:t>
            </w:r>
          </w:p>
        </w:tc>
        <w:tc>
          <w:tcPr>
            <w:tcW w:w="1040" w:type="dxa"/>
            <w:shd w:val="clear" w:color="auto" w:fill="auto"/>
            <w:noWrap/>
            <w:vAlign w:val="bottom"/>
            <w:hideMark/>
          </w:tcPr>
          <w:p w14:paraId="520DE078"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125</w:t>
            </w:r>
          </w:p>
        </w:tc>
        <w:tc>
          <w:tcPr>
            <w:tcW w:w="1160" w:type="dxa"/>
            <w:shd w:val="clear" w:color="auto" w:fill="auto"/>
            <w:noWrap/>
            <w:vAlign w:val="bottom"/>
            <w:hideMark/>
          </w:tcPr>
          <w:p w14:paraId="79694876"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167</w:t>
            </w:r>
          </w:p>
        </w:tc>
        <w:tc>
          <w:tcPr>
            <w:tcW w:w="1160" w:type="dxa"/>
            <w:shd w:val="clear" w:color="auto" w:fill="auto"/>
            <w:noWrap/>
            <w:vAlign w:val="bottom"/>
            <w:hideMark/>
          </w:tcPr>
          <w:p w14:paraId="570DD425"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158</w:t>
            </w:r>
          </w:p>
        </w:tc>
        <w:tc>
          <w:tcPr>
            <w:tcW w:w="1160" w:type="dxa"/>
            <w:shd w:val="clear" w:color="auto" w:fill="auto"/>
            <w:noWrap/>
            <w:vAlign w:val="bottom"/>
            <w:hideMark/>
          </w:tcPr>
          <w:p w14:paraId="48908441"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111</w:t>
            </w:r>
          </w:p>
        </w:tc>
      </w:tr>
      <w:tr w:rsidR="00A8047C" w:rsidRPr="00A40217" w14:paraId="0CA6CFB3" w14:textId="77777777" w:rsidTr="00A8047C">
        <w:trPr>
          <w:trHeight w:val="288"/>
        </w:trPr>
        <w:tc>
          <w:tcPr>
            <w:tcW w:w="1071" w:type="dxa"/>
            <w:shd w:val="clear" w:color="auto" w:fill="auto"/>
            <w:noWrap/>
            <w:vAlign w:val="bottom"/>
            <w:hideMark/>
          </w:tcPr>
          <w:p w14:paraId="74AE470A"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55-59 years</w:t>
            </w:r>
          </w:p>
        </w:tc>
        <w:tc>
          <w:tcPr>
            <w:tcW w:w="1000" w:type="dxa"/>
            <w:shd w:val="clear" w:color="auto" w:fill="auto"/>
            <w:noWrap/>
            <w:vAlign w:val="bottom"/>
            <w:hideMark/>
          </w:tcPr>
          <w:p w14:paraId="5CE85313"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Deaths</w:t>
            </w:r>
          </w:p>
        </w:tc>
        <w:tc>
          <w:tcPr>
            <w:tcW w:w="1160" w:type="dxa"/>
            <w:shd w:val="clear" w:color="auto" w:fill="auto"/>
            <w:noWrap/>
            <w:vAlign w:val="bottom"/>
            <w:hideMark/>
          </w:tcPr>
          <w:p w14:paraId="57C7F743"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1698</w:t>
            </w:r>
          </w:p>
        </w:tc>
        <w:tc>
          <w:tcPr>
            <w:tcW w:w="1040" w:type="dxa"/>
            <w:shd w:val="clear" w:color="auto" w:fill="auto"/>
            <w:noWrap/>
            <w:vAlign w:val="bottom"/>
            <w:hideMark/>
          </w:tcPr>
          <w:p w14:paraId="2D65ACBE"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71</w:t>
            </w:r>
          </w:p>
        </w:tc>
        <w:tc>
          <w:tcPr>
            <w:tcW w:w="1040" w:type="dxa"/>
            <w:shd w:val="clear" w:color="auto" w:fill="auto"/>
            <w:noWrap/>
            <w:vAlign w:val="bottom"/>
            <w:hideMark/>
          </w:tcPr>
          <w:p w14:paraId="30A0C1FA"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106</w:t>
            </w:r>
          </w:p>
        </w:tc>
        <w:tc>
          <w:tcPr>
            <w:tcW w:w="1040" w:type="dxa"/>
            <w:shd w:val="clear" w:color="auto" w:fill="auto"/>
            <w:noWrap/>
            <w:vAlign w:val="bottom"/>
            <w:hideMark/>
          </w:tcPr>
          <w:p w14:paraId="223E5C34"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188</w:t>
            </w:r>
          </w:p>
        </w:tc>
        <w:tc>
          <w:tcPr>
            <w:tcW w:w="1160" w:type="dxa"/>
            <w:shd w:val="clear" w:color="auto" w:fill="auto"/>
            <w:noWrap/>
            <w:vAlign w:val="bottom"/>
            <w:hideMark/>
          </w:tcPr>
          <w:p w14:paraId="4D63FC33"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339</w:t>
            </w:r>
          </w:p>
        </w:tc>
        <w:tc>
          <w:tcPr>
            <w:tcW w:w="1160" w:type="dxa"/>
            <w:shd w:val="clear" w:color="auto" w:fill="auto"/>
            <w:noWrap/>
            <w:vAlign w:val="bottom"/>
            <w:hideMark/>
          </w:tcPr>
          <w:p w14:paraId="0FCF0B0B"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250</w:t>
            </w:r>
          </w:p>
        </w:tc>
        <w:tc>
          <w:tcPr>
            <w:tcW w:w="1160" w:type="dxa"/>
            <w:shd w:val="clear" w:color="auto" w:fill="auto"/>
            <w:noWrap/>
            <w:vAlign w:val="bottom"/>
            <w:hideMark/>
          </w:tcPr>
          <w:p w14:paraId="14E768A9"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112</w:t>
            </w:r>
          </w:p>
        </w:tc>
      </w:tr>
      <w:tr w:rsidR="00A8047C" w:rsidRPr="00A40217" w14:paraId="07D39F6A" w14:textId="77777777" w:rsidTr="00A8047C">
        <w:trPr>
          <w:trHeight w:val="288"/>
        </w:trPr>
        <w:tc>
          <w:tcPr>
            <w:tcW w:w="1071" w:type="dxa"/>
            <w:shd w:val="clear" w:color="auto" w:fill="auto"/>
            <w:noWrap/>
            <w:vAlign w:val="bottom"/>
            <w:hideMark/>
          </w:tcPr>
          <w:p w14:paraId="767AB142"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60-64 years</w:t>
            </w:r>
          </w:p>
        </w:tc>
        <w:tc>
          <w:tcPr>
            <w:tcW w:w="1000" w:type="dxa"/>
            <w:shd w:val="clear" w:color="auto" w:fill="auto"/>
            <w:noWrap/>
            <w:vAlign w:val="bottom"/>
            <w:hideMark/>
          </w:tcPr>
          <w:p w14:paraId="5BEF29C2"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Deaths</w:t>
            </w:r>
          </w:p>
        </w:tc>
        <w:tc>
          <w:tcPr>
            <w:tcW w:w="1160" w:type="dxa"/>
            <w:shd w:val="clear" w:color="auto" w:fill="auto"/>
            <w:noWrap/>
            <w:vAlign w:val="bottom"/>
            <w:hideMark/>
          </w:tcPr>
          <w:p w14:paraId="0121F031"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1816</w:t>
            </w:r>
          </w:p>
        </w:tc>
        <w:tc>
          <w:tcPr>
            <w:tcW w:w="1040" w:type="dxa"/>
            <w:shd w:val="clear" w:color="auto" w:fill="auto"/>
            <w:noWrap/>
            <w:vAlign w:val="bottom"/>
            <w:hideMark/>
          </w:tcPr>
          <w:p w14:paraId="0E082CD2"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162</w:t>
            </w:r>
          </w:p>
        </w:tc>
        <w:tc>
          <w:tcPr>
            <w:tcW w:w="1040" w:type="dxa"/>
            <w:shd w:val="clear" w:color="auto" w:fill="auto"/>
            <w:noWrap/>
            <w:vAlign w:val="bottom"/>
            <w:hideMark/>
          </w:tcPr>
          <w:p w14:paraId="6AAC1D6C"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155</w:t>
            </w:r>
          </w:p>
        </w:tc>
        <w:tc>
          <w:tcPr>
            <w:tcW w:w="1040" w:type="dxa"/>
            <w:shd w:val="clear" w:color="auto" w:fill="auto"/>
            <w:noWrap/>
            <w:vAlign w:val="bottom"/>
            <w:hideMark/>
          </w:tcPr>
          <w:p w14:paraId="67F1B939"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213</w:t>
            </w:r>
          </w:p>
        </w:tc>
        <w:tc>
          <w:tcPr>
            <w:tcW w:w="1160" w:type="dxa"/>
            <w:shd w:val="clear" w:color="auto" w:fill="auto"/>
            <w:noWrap/>
            <w:vAlign w:val="bottom"/>
            <w:hideMark/>
          </w:tcPr>
          <w:p w14:paraId="3F5BA0F7"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483</w:t>
            </w:r>
          </w:p>
        </w:tc>
        <w:tc>
          <w:tcPr>
            <w:tcW w:w="1160" w:type="dxa"/>
            <w:shd w:val="clear" w:color="auto" w:fill="auto"/>
            <w:noWrap/>
            <w:vAlign w:val="bottom"/>
            <w:hideMark/>
          </w:tcPr>
          <w:p w14:paraId="393AF4BB"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336</w:t>
            </w:r>
          </w:p>
        </w:tc>
        <w:tc>
          <w:tcPr>
            <w:tcW w:w="1160" w:type="dxa"/>
            <w:shd w:val="clear" w:color="auto" w:fill="auto"/>
            <w:noWrap/>
            <w:vAlign w:val="bottom"/>
            <w:hideMark/>
          </w:tcPr>
          <w:p w14:paraId="25CB6AF9"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72</w:t>
            </w:r>
          </w:p>
        </w:tc>
      </w:tr>
      <w:tr w:rsidR="00A8047C" w:rsidRPr="00A40217" w14:paraId="49A14CF4" w14:textId="77777777" w:rsidTr="00A8047C">
        <w:trPr>
          <w:trHeight w:val="288"/>
        </w:trPr>
        <w:tc>
          <w:tcPr>
            <w:tcW w:w="1071" w:type="dxa"/>
            <w:shd w:val="clear" w:color="auto" w:fill="auto"/>
            <w:noWrap/>
            <w:vAlign w:val="bottom"/>
            <w:hideMark/>
          </w:tcPr>
          <w:p w14:paraId="5C974786"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65-69 years</w:t>
            </w:r>
          </w:p>
        </w:tc>
        <w:tc>
          <w:tcPr>
            <w:tcW w:w="1000" w:type="dxa"/>
            <w:shd w:val="clear" w:color="auto" w:fill="auto"/>
            <w:noWrap/>
            <w:vAlign w:val="bottom"/>
            <w:hideMark/>
          </w:tcPr>
          <w:p w14:paraId="329FCB5A"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Deaths</w:t>
            </w:r>
          </w:p>
        </w:tc>
        <w:tc>
          <w:tcPr>
            <w:tcW w:w="1160" w:type="dxa"/>
            <w:shd w:val="clear" w:color="auto" w:fill="auto"/>
            <w:noWrap/>
            <w:vAlign w:val="bottom"/>
            <w:hideMark/>
          </w:tcPr>
          <w:p w14:paraId="37491636"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2057</w:t>
            </w:r>
          </w:p>
        </w:tc>
        <w:tc>
          <w:tcPr>
            <w:tcW w:w="1040" w:type="dxa"/>
            <w:shd w:val="clear" w:color="auto" w:fill="auto"/>
            <w:noWrap/>
            <w:vAlign w:val="bottom"/>
            <w:hideMark/>
          </w:tcPr>
          <w:p w14:paraId="09E5D948"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226</w:t>
            </w:r>
          </w:p>
        </w:tc>
        <w:tc>
          <w:tcPr>
            <w:tcW w:w="1040" w:type="dxa"/>
            <w:shd w:val="clear" w:color="auto" w:fill="auto"/>
            <w:noWrap/>
            <w:vAlign w:val="bottom"/>
            <w:hideMark/>
          </w:tcPr>
          <w:p w14:paraId="51CD5375"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224</w:t>
            </w:r>
          </w:p>
        </w:tc>
        <w:tc>
          <w:tcPr>
            <w:tcW w:w="1040" w:type="dxa"/>
            <w:shd w:val="clear" w:color="auto" w:fill="auto"/>
            <w:noWrap/>
            <w:vAlign w:val="bottom"/>
            <w:hideMark/>
          </w:tcPr>
          <w:p w14:paraId="4D07811A"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217</w:t>
            </w:r>
          </w:p>
        </w:tc>
        <w:tc>
          <w:tcPr>
            <w:tcW w:w="1160" w:type="dxa"/>
            <w:shd w:val="clear" w:color="auto" w:fill="auto"/>
            <w:noWrap/>
            <w:vAlign w:val="bottom"/>
            <w:hideMark/>
          </w:tcPr>
          <w:p w14:paraId="33F094DE"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819</w:t>
            </w:r>
          </w:p>
        </w:tc>
        <w:tc>
          <w:tcPr>
            <w:tcW w:w="1160" w:type="dxa"/>
            <w:shd w:val="clear" w:color="auto" w:fill="auto"/>
            <w:noWrap/>
            <w:vAlign w:val="bottom"/>
            <w:hideMark/>
          </w:tcPr>
          <w:p w14:paraId="2F8BDAFF"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380</w:t>
            </w:r>
          </w:p>
        </w:tc>
        <w:tc>
          <w:tcPr>
            <w:tcW w:w="1160" w:type="dxa"/>
            <w:shd w:val="clear" w:color="auto" w:fill="auto"/>
            <w:noWrap/>
            <w:vAlign w:val="bottom"/>
            <w:hideMark/>
          </w:tcPr>
          <w:p w14:paraId="235D3404"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57</w:t>
            </w:r>
          </w:p>
        </w:tc>
      </w:tr>
      <w:tr w:rsidR="00A8047C" w:rsidRPr="00A40217" w14:paraId="78689507" w14:textId="77777777" w:rsidTr="00A8047C">
        <w:trPr>
          <w:trHeight w:val="288"/>
        </w:trPr>
        <w:tc>
          <w:tcPr>
            <w:tcW w:w="1071" w:type="dxa"/>
            <w:shd w:val="clear" w:color="auto" w:fill="auto"/>
            <w:noWrap/>
            <w:vAlign w:val="bottom"/>
            <w:hideMark/>
          </w:tcPr>
          <w:p w14:paraId="4C11FBC4"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70-74 years</w:t>
            </w:r>
          </w:p>
        </w:tc>
        <w:tc>
          <w:tcPr>
            <w:tcW w:w="1000" w:type="dxa"/>
            <w:shd w:val="clear" w:color="auto" w:fill="auto"/>
            <w:noWrap/>
            <w:vAlign w:val="bottom"/>
            <w:hideMark/>
          </w:tcPr>
          <w:p w14:paraId="68F460D9"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Deaths</w:t>
            </w:r>
          </w:p>
        </w:tc>
        <w:tc>
          <w:tcPr>
            <w:tcW w:w="1160" w:type="dxa"/>
            <w:shd w:val="clear" w:color="auto" w:fill="auto"/>
            <w:noWrap/>
            <w:vAlign w:val="bottom"/>
            <w:hideMark/>
          </w:tcPr>
          <w:p w14:paraId="02344C16"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2245</w:t>
            </w:r>
          </w:p>
        </w:tc>
        <w:tc>
          <w:tcPr>
            <w:tcW w:w="1040" w:type="dxa"/>
            <w:shd w:val="clear" w:color="auto" w:fill="auto"/>
            <w:noWrap/>
            <w:vAlign w:val="bottom"/>
            <w:hideMark/>
          </w:tcPr>
          <w:p w14:paraId="2B57A702"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306</w:t>
            </w:r>
          </w:p>
        </w:tc>
        <w:tc>
          <w:tcPr>
            <w:tcW w:w="1040" w:type="dxa"/>
            <w:shd w:val="clear" w:color="auto" w:fill="auto"/>
            <w:noWrap/>
            <w:vAlign w:val="bottom"/>
            <w:hideMark/>
          </w:tcPr>
          <w:p w14:paraId="5CAEC85A"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281</w:t>
            </w:r>
          </w:p>
        </w:tc>
        <w:tc>
          <w:tcPr>
            <w:tcW w:w="1040" w:type="dxa"/>
            <w:shd w:val="clear" w:color="auto" w:fill="auto"/>
            <w:noWrap/>
            <w:vAlign w:val="bottom"/>
            <w:hideMark/>
          </w:tcPr>
          <w:p w14:paraId="38490042"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175</w:t>
            </w:r>
          </w:p>
        </w:tc>
        <w:tc>
          <w:tcPr>
            <w:tcW w:w="1160" w:type="dxa"/>
            <w:shd w:val="clear" w:color="auto" w:fill="auto"/>
            <w:noWrap/>
            <w:vAlign w:val="bottom"/>
            <w:hideMark/>
          </w:tcPr>
          <w:p w14:paraId="639BBC77"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1027</w:t>
            </w:r>
          </w:p>
        </w:tc>
        <w:tc>
          <w:tcPr>
            <w:tcW w:w="1160" w:type="dxa"/>
            <w:shd w:val="clear" w:color="auto" w:fill="auto"/>
            <w:noWrap/>
            <w:vAlign w:val="bottom"/>
            <w:hideMark/>
          </w:tcPr>
          <w:p w14:paraId="689A0EEC"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352</w:t>
            </w:r>
          </w:p>
        </w:tc>
        <w:tc>
          <w:tcPr>
            <w:tcW w:w="1160" w:type="dxa"/>
            <w:shd w:val="clear" w:color="auto" w:fill="auto"/>
            <w:noWrap/>
            <w:vAlign w:val="bottom"/>
            <w:hideMark/>
          </w:tcPr>
          <w:p w14:paraId="793B70F0"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35</w:t>
            </w:r>
          </w:p>
        </w:tc>
      </w:tr>
      <w:tr w:rsidR="00A8047C" w:rsidRPr="00A40217" w14:paraId="47EDAF68" w14:textId="77777777" w:rsidTr="00A8047C">
        <w:trPr>
          <w:trHeight w:val="288"/>
        </w:trPr>
        <w:tc>
          <w:tcPr>
            <w:tcW w:w="1071" w:type="dxa"/>
            <w:shd w:val="clear" w:color="auto" w:fill="auto"/>
            <w:noWrap/>
            <w:vAlign w:val="bottom"/>
            <w:hideMark/>
          </w:tcPr>
          <w:p w14:paraId="5F2A38D5"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lastRenderedPageBreak/>
              <w:t>75-79 years</w:t>
            </w:r>
          </w:p>
        </w:tc>
        <w:tc>
          <w:tcPr>
            <w:tcW w:w="1000" w:type="dxa"/>
            <w:shd w:val="clear" w:color="auto" w:fill="auto"/>
            <w:noWrap/>
            <w:vAlign w:val="bottom"/>
            <w:hideMark/>
          </w:tcPr>
          <w:p w14:paraId="71D336FE"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Deaths</w:t>
            </w:r>
          </w:p>
        </w:tc>
        <w:tc>
          <w:tcPr>
            <w:tcW w:w="1160" w:type="dxa"/>
            <w:shd w:val="clear" w:color="auto" w:fill="auto"/>
            <w:noWrap/>
            <w:vAlign w:val="bottom"/>
            <w:hideMark/>
          </w:tcPr>
          <w:p w14:paraId="4EF19287"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2230</w:t>
            </w:r>
          </w:p>
        </w:tc>
        <w:tc>
          <w:tcPr>
            <w:tcW w:w="1040" w:type="dxa"/>
            <w:shd w:val="clear" w:color="auto" w:fill="auto"/>
            <w:noWrap/>
            <w:vAlign w:val="bottom"/>
            <w:hideMark/>
          </w:tcPr>
          <w:p w14:paraId="248F2062"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424</w:t>
            </w:r>
          </w:p>
        </w:tc>
        <w:tc>
          <w:tcPr>
            <w:tcW w:w="1040" w:type="dxa"/>
            <w:shd w:val="clear" w:color="auto" w:fill="auto"/>
            <w:noWrap/>
            <w:vAlign w:val="bottom"/>
            <w:hideMark/>
          </w:tcPr>
          <w:p w14:paraId="21DA1330"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331</w:t>
            </w:r>
          </w:p>
        </w:tc>
        <w:tc>
          <w:tcPr>
            <w:tcW w:w="1040" w:type="dxa"/>
            <w:shd w:val="clear" w:color="auto" w:fill="auto"/>
            <w:noWrap/>
            <w:vAlign w:val="bottom"/>
            <w:hideMark/>
          </w:tcPr>
          <w:p w14:paraId="461EEC22"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130</w:t>
            </w:r>
          </w:p>
        </w:tc>
        <w:tc>
          <w:tcPr>
            <w:tcW w:w="1160" w:type="dxa"/>
            <w:shd w:val="clear" w:color="auto" w:fill="auto"/>
            <w:noWrap/>
            <w:vAlign w:val="bottom"/>
            <w:hideMark/>
          </w:tcPr>
          <w:p w14:paraId="2B55AA12"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1203</w:t>
            </w:r>
          </w:p>
        </w:tc>
        <w:tc>
          <w:tcPr>
            <w:tcW w:w="1160" w:type="dxa"/>
            <w:shd w:val="clear" w:color="auto" w:fill="auto"/>
            <w:noWrap/>
            <w:vAlign w:val="bottom"/>
            <w:hideMark/>
          </w:tcPr>
          <w:p w14:paraId="106A4697"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442</w:t>
            </w:r>
          </w:p>
        </w:tc>
        <w:tc>
          <w:tcPr>
            <w:tcW w:w="1160" w:type="dxa"/>
            <w:shd w:val="clear" w:color="auto" w:fill="auto"/>
            <w:noWrap/>
            <w:vAlign w:val="bottom"/>
            <w:hideMark/>
          </w:tcPr>
          <w:p w14:paraId="5822BE5C"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30</w:t>
            </w:r>
          </w:p>
        </w:tc>
      </w:tr>
      <w:tr w:rsidR="00A8047C" w:rsidRPr="00A40217" w14:paraId="6805B2C4" w14:textId="77777777" w:rsidTr="00A8047C">
        <w:trPr>
          <w:trHeight w:val="288"/>
        </w:trPr>
        <w:tc>
          <w:tcPr>
            <w:tcW w:w="1071" w:type="dxa"/>
            <w:shd w:val="clear" w:color="auto" w:fill="auto"/>
            <w:noWrap/>
            <w:vAlign w:val="bottom"/>
            <w:hideMark/>
          </w:tcPr>
          <w:p w14:paraId="046EF669"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80+ years</w:t>
            </w:r>
          </w:p>
        </w:tc>
        <w:tc>
          <w:tcPr>
            <w:tcW w:w="1000" w:type="dxa"/>
            <w:shd w:val="clear" w:color="auto" w:fill="auto"/>
            <w:noWrap/>
            <w:vAlign w:val="bottom"/>
            <w:hideMark/>
          </w:tcPr>
          <w:p w14:paraId="2FEFD484"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Deaths</w:t>
            </w:r>
          </w:p>
        </w:tc>
        <w:tc>
          <w:tcPr>
            <w:tcW w:w="1160" w:type="dxa"/>
            <w:shd w:val="clear" w:color="auto" w:fill="auto"/>
            <w:noWrap/>
            <w:vAlign w:val="bottom"/>
            <w:hideMark/>
          </w:tcPr>
          <w:p w14:paraId="1EB8928A"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3562</w:t>
            </w:r>
          </w:p>
        </w:tc>
        <w:tc>
          <w:tcPr>
            <w:tcW w:w="1040" w:type="dxa"/>
            <w:shd w:val="clear" w:color="auto" w:fill="auto"/>
            <w:noWrap/>
            <w:vAlign w:val="bottom"/>
            <w:hideMark/>
          </w:tcPr>
          <w:p w14:paraId="29DA6FA8"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645</w:t>
            </w:r>
          </w:p>
        </w:tc>
        <w:tc>
          <w:tcPr>
            <w:tcW w:w="1040" w:type="dxa"/>
            <w:shd w:val="clear" w:color="auto" w:fill="auto"/>
            <w:noWrap/>
            <w:vAlign w:val="bottom"/>
            <w:hideMark/>
          </w:tcPr>
          <w:p w14:paraId="3BFA4A5C"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587</w:t>
            </w:r>
          </w:p>
        </w:tc>
        <w:tc>
          <w:tcPr>
            <w:tcW w:w="1040" w:type="dxa"/>
            <w:shd w:val="clear" w:color="auto" w:fill="auto"/>
            <w:noWrap/>
            <w:vAlign w:val="bottom"/>
            <w:hideMark/>
          </w:tcPr>
          <w:p w14:paraId="0C038C75"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104</w:t>
            </w:r>
          </w:p>
        </w:tc>
        <w:tc>
          <w:tcPr>
            <w:tcW w:w="1160" w:type="dxa"/>
            <w:shd w:val="clear" w:color="auto" w:fill="auto"/>
            <w:noWrap/>
            <w:vAlign w:val="bottom"/>
            <w:hideMark/>
          </w:tcPr>
          <w:p w14:paraId="7F302098"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2098</w:t>
            </w:r>
          </w:p>
        </w:tc>
        <w:tc>
          <w:tcPr>
            <w:tcW w:w="1160" w:type="dxa"/>
            <w:shd w:val="clear" w:color="auto" w:fill="auto"/>
            <w:noWrap/>
            <w:vAlign w:val="bottom"/>
            <w:hideMark/>
          </w:tcPr>
          <w:p w14:paraId="745F5AFB"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561</w:t>
            </w:r>
          </w:p>
        </w:tc>
        <w:tc>
          <w:tcPr>
            <w:tcW w:w="1160" w:type="dxa"/>
            <w:shd w:val="clear" w:color="auto" w:fill="auto"/>
            <w:noWrap/>
            <w:vAlign w:val="bottom"/>
            <w:hideMark/>
          </w:tcPr>
          <w:p w14:paraId="09324174"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29</w:t>
            </w:r>
          </w:p>
        </w:tc>
      </w:tr>
      <w:tr w:rsidR="00A8047C" w:rsidRPr="00A40217" w14:paraId="5B9A131A" w14:textId="77777777" w:rsidTr="00A8047C">
        <w:trPr>
          <w:trHeight w:val="288"/>
        </w:trPr>
        <w:tc>
          <w:tcPr>
            <w:tcW w:w="1071" w:type="dxa"/>
            <w:shd w:val="clear" w:color="auto" w:fill="D0CECE" w:themeFill="background2" w:themeFillShade="E6"/>
            <w:noWrap/>
            <w:vAlign w:val="bottom"/>
          </w:tcPr>
          <w:p w14:paraId="248F434D" w14:textId="01A6E4F5"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Total</w:t>
            </w:r>
          </w:p>
        </w:tc>
        <w:tc>
          <w:tcPr>
            <w:tcW w:w="1000" w:type="dxa"/>
            <w:shd w:val="clear" w:color="auto" w:fill="D0CECE" w:themeFill="background2" w:themeFillShade="E6"/>
            <w:noWrap/>
            <w:vAlign w:val="bottom"/>
          </w:tcPr>
          <w:p w14:paraId="2715A3E3" w14:textId="17AB329D"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Deaths</w:t>
            </w:r>
          </w:p>
        </w:tc>
        <w:tc>
          <w:tcPr>
            <w:tcW w:w="1160" w:type="dxa"/>
            <w:shd w:val="clear" w:color="auto" w:fill="D0CECE" w:themeFill="background2" w:themeFillShade="E6"/>
            <w:noWrap/>
            <w:vAlign w:val="bottom"/>
          </w:tcPr>
          <w:p w14:paraId="043CF6D0" w14:textId="6D08AB1A"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17297</w:t>
            </w:r>
          </w:p>
        </w:tc>
        <w:tc>
          <w:tcPr>
            <w:tcW w:w="1040" w:type="dxa"/>
            <w:shd w:val="clear" w:color="auto" w:fill="D0CECE" w:themeFill="background2" w:themeFillShade="E6"/>
            <w:noWrap/>
            <w:vAlign w:val="bottom"/>
          </w:tcPr>
          <w:p w14:paraId="31D537A5" w14:textId="0098F2D2"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1926</w:t>
            </w:r>
          </w:p>
        </w:tc>
        <w:tc>
          <w:tcPr>
            <w:tcW w:w="1040" w:type="dxa"/>
            <w:shd w:val="clear" w:color="auto" w:fill="D0CECE" w:themeFill="background2" w:themeFillShade="E6"/>
            <w:noWrap/>
            <w:vAlign w:val="bottom"/>
          </w:tcPr>
          <w:p w14:paraId="5BC4839D" w14:textId="06A804D6"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1988</w:t>
            </w:r>
          </w:p>
        </w:tc>
        <w:tc>
          <w:tcPr>
            <w:tcW w:w="1040" w:type="dxa"/>
            <w:shd w:val="clear" w:color="auto" w:fill="D0CECE" w:themeFill="background2" w:themeFillShade="E6"/>
            <w:noWrap/>
            <w:vAlign w:val="bottom"/>
          </w:tcPr>
          <w:p w14:paraId="1CFA139A" w14:textId="76CE2F1A"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1309</w:t>
            </w:r>
          </w:p>
        </w:tc>
        <w:tc>
          <w:tcPr>
            <w:tcW w:w="1160" w:type="dxa"/>
            <w:shd w:val="clear" w:color="auto" w:fill="D0CECE" w:themeFill="background2" w:themeFillShade="E6"/>
            <w:noWrap/>
            <w:vAlign w:val="bottom"/>
          </w:tcPr>
          <w:p w14:paraId="40CEAE32" w14:textId="5EF1E7F8"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6296</w:t>
            </w:r>
          </w:p>
        </w:tc>
        <w:tc>
          <w:tcPr>
            <w:tcW w:w="1160" w:type="dxa"/>
            <w:shd w:val="clear" w:color="auto" w:fill="D0CECE" w:themeFill="background2" w:themeFillShade="E6"/>
            <w:noWrap/>
            <w:vAlign w:val="bottom"/>
          </w:tcPr>
          <w:p w14:paraId="53FD974B" w14:textId="015D08DD"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2671</w:t>
            </w:r>
          </w:p>
        </w:tc>
        <w:tc>
          <w:tcPr>
            <w:tcW w:w="1160" w:type="dxa"/>
            <w:shd w:val="clear" w:color="auto" w:fill="D0CECE" w:themeFill="background2" w:themeFillShade="E6"/>
            <w:noWrap/>
            <w:vAlign w:val="bottom"/>
          </w:tcPr>
          <w:p w14:paraId="42A1FE00" w14:textId="6929ABBF"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1692</w:t>
            </w:r>
          </w:p>
        </w:tc>
      </w:tr>
      <w:tr w:rsidR="00A8047C" w:rsidRPr="00A40217" w14:paraId="712B072A" w14:textId="77777777" w:rsidTr="00A8047C">
        <w:trPr>
          <w:trHeight w:val="288"/>
        </w:trPr>
        <w:tc>
          <w:tcPr>
            <w:tcW w:w="1071" w:type="dxa"/>
            <w:shd w:val="clear" w:color="auto" w:fill="auto"/>
            <w:noWrap/>
            <w:vAlign w:val="bottom"/>
            <w:hideMark/>
          </w:tcPr>
          <w:p w14:paraId="3DA7E8D0"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15-19 years</w:t>
            </w:r>
          </w:p>
        </w:tc>
        <w:tc>
          <w:tcPr>
            <w:tcW w:w="1000" w:type="dxa"/>
            <w:shd w:val="clear" w:color="auto" w:fill="auto"/>
            <w:noWrap/>
            <w:vAlign w:val="bottom"/>
            <w:hideMark/>
          </w:tcPr>
          <w:p w14:paraId="6D9B44B5"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DALYs</w:t>
            </w:r>
          </w:p>
        </w:tc>
        <w:tc>
          <w:tcPr>
            <w:tcW w:w="1160" w:type="dxa"/>
            <w:shd w:val="clear" w:color="auto" w:fill="auto"/>
            <w:noWrap/>
            <w:vAlign w:val="bottom"/>
            <w:hideMark/>
          </w:tcPr>
          <w:p w14:paraId="78A7C917"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2517</w:t>
            </w:r>
          </w:p>
        </w:tc>
        <w:tc>
          <w:tcPr>
            <w:tcW w:w="1040" w:type="dxa"/>
            <w:shd w:val="clear" w:color="auto" w:fill="auto"/>
            <w:noWrap/>
            <w:vAlign w:val="bottom"/>
            <w:hideMark/>
          </w:tcPr>
          <w:p w14:paraId="57DA6294"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441</w:t>
            </w:r>
          </w:p>
        </w:tc>
        <w:tc>
          <w:tcPr>
            <w:tcW w:w="1040" w:type="dxa"/>
            <w:shd w:val="clear" w:color="auto" w:fill="auto"/>
            <w:noWrap/>
            <w:vAlign w:val="bottom"/>
            <w:hideMark/>
          </w:tcPr>
          <w:p w14:paraId="70049EE8"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1632</w:t>
            </w:r>
          </w:p>
        </w:tc>
        <w:tc>
          <w:tcPr>
            <w:tcW w:w="1040" w:type="dxa"/>
            <w:shd w:val="clear" w:color="auto" w:fill="auto"/>
            <w:noWrap/>
            <w:vAlign w:val="bottom"/>
            <w:hideMark/>
          </w:tcPr>
          <w:p w14:paraId="7C510DA2"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60</w:t>
            </w:r>
          </w:p>
        </w:tc>
        <w:tc>
          <w:tcPr>
            <w:tcW w:w="1160" w:type="dxa"/>
            <w:shd w:val="clear" w:color="auto" w:fill="auto"/>
            <w:noWrap/>
            <w:vAlign w:val="bottom"/>
            <w:hideMark/>
          </w:tcPr>
          <w:p w14:paraId="4C84FAA9"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1068</w:t>
            </w:r>
          </w:p>
        </w:tc>
        <w:tc>
          <w:tcPr>
            <w:tcW w:w="1160" w:type="dxa"/>
            <w:shd w:val="clear" w:color="auto" w:fill="auto"/>
            <w:noWrap/>
            <w:vAlign w:val="bottom"/>
            <w:hideMark/>
          </w:tcPr>
          <w:p w14:paraId="2490F425"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712</w:t>
            </w:r>
          </w:p>
        </w:tc>
        <w:tc>
          <w:tcPr>
            <w:tcW w:w="1160" w:type="dxa"/>
            <w:shd w:val="clear" w:color="auto" w:fill="auto"/>
            <w:noWrap/>
            <w:vAlign w:val="bottom"/>
            <w:hideMark/>
          </w:tcPr>
          <w:p w14:paraId="67F3059B"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11164</w:t>
            </w:r>
          </w:p>
        </w:tc>
      </w:tr>
      <w:tr w:rsidR="00A8047C" w:rsidRPr="00A40217" w14:paraId="3FAA826A" w14:textId="77777777" w:rsidTr="00A8047C">
        <w:trPr>
          <w:trHeight w:val="288"/>
        </w:trPr>
        <w:tc>
          <w:tcPr>
            <w:tcW w:w="1071" w:type="dxa"/>
            <w:shd w:val="clear" w:color="auto" w:fill="auto"/>
            <w:noWrap/>
            <w:vAlign w:val="bottom"/>
            <w:hideMark/>
          </w:tcPr>
          <w:p w14:paraId="1ABEB9C4"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20-24 years</w:t>
            </w:r>
          </w:p>
        </w:tc>
        <w:tc>
          <w:tcPr>
            <w:tcW w:w="1000" w:type="dxa"/>
            <w:shd w:val="clear" w:color="auto" w:fill="auto"/>
            <w:noWrap/>
            <w:vAlign w:val="bottom"/>
            <w:hideMark/>
          </w:tcPr>
          <w:p w14:paraId="21E95013"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DALYs</w:t>
            </w:r>
          </w:p>
        </w:tc>
        <w:tc>
          <w:tcPr>
            <w:tcW w:w="1160" w:type="dxa"/>
            <w:shd w:val="clear" w:color="auto" w:fill="auto"/>
            <w:noWrap/>
            <w:vAlign w:val="bottom"/>
            <w:hideMark/>
          </w:tcPr>
          <w:p w14:paraId="0EB1A167"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6796</w:t>
            </w:r>
          </w:p>
        </w:tc>
        <w:tc>
          <w:tcPr>
            <w:tcW w:w="1040" w:type="dxa"/>
            <w:shd w:val="clear" w:color="auto" w:fill="auto"/>
            <w:noWrap/>
            <w:vAlign w:val="bottom"/>
            <w:hideMark/>
          </w:tcPr>
          <w:p w14:paraId="4F899E3F"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590</w:t>
            </w:r>
          </w:p>
        </w:tc>
        <w:tc>
          <w:tcPr>
            <w:tcW w:w="1040" w:type="dxa"/>
            <w:shd w:val="clear" w:color="auto" w:fill="auto"/>
            <w:noWrap/>
            <w:vAlign w:val="bottom"/>
            <w:hideMark/>
          </w:tcPr>
          <w:p w14:paraId="6D88A8B5"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1707</w:t>
            </w:r>
          </w:p>
        </w:tc>
        <w:tc>
          <w:tcPr>
            <w:tcW w:w="1040" w:type="dxa"/>
            <w:shd w:val="clear" w:color="auto" w:fill="auto"/>
            <w:noWrap/>
            <w:vAlign w:val="bottom"/>
            <w:hideMark/>
          </w:tcPr>
          <w:p w14:paraId="2EBD0F15"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135</w:t>
            </w:r>
          </w:p>
        </w:tc>
        <w:tc>
          <w:tcPr>
            <w:tcW w:w="1160" w:type="dxa"/>
            <w:shd w:val="clear" w:color="auto" w:fill="auto"/>
            <w:noWrap/>
            <w:vAlign w:val="bottom"/>
            <w:hideMark/>
          </w:tcPr>
          <w:p w14:paraId="25F85EB0"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1780</w:t>
            </w:r>
          </w:p>
        </w:tc>
        <w:tc>
          <w:tcPr>
            <w:tcW w:w="1160" w:type="dxa"/>
            <w:shd w:val="clear" w:color="auto" w:fill="auto"/>
            <w:noWrap/>
            <w:vAlign w:val="bottom"/>
            <w:hideMark/>
          </w:tcPr>
          <w:p w14:paraId="44555968"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1383</w:t>
            </w:r>
          </w:p>
        </w:tc>
        <w:tc>
          <w:tcPr>
            <w:tcW w:w="1160" w:type="dxa"/>
            <w:shd w:val="clear" w:color="auto" w:fill="auto"/>
            <w:noWrap/>
            <w:vAlign w:val="bottom"/>
            <w:hideMark/>
          </w:tcPr>
          <w:p w14:paraId="1953D1F6"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21140</w:t>
            </w:r>
          </w:p>
        </w:tc>
      </w:tr>
      <w:tr w:rsidR="00A8047C" w:rsidRPr="00A40217" w14:paraId="468125CE" w14:textId="77777777" w:rsidTr="00A8047C">
        <w:trPr>
          <w:trHeight w:val="288"/>
        </w:trPr>
        <w:tc>
          <w:tcPr>
            <w:tcW w:w="1071" w:type="dxa"/>
            <w:shd w:val="clear" w:color="auto" w:fill="auto"/>
            <w:noWrap/>
            <w:vAlign w:val="bottom"/>
            <w:hideMark/>
          </w:tcPr>
          <w:p w14:paraId="0B59F141"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25-29 years</w:t>
            </w:r>
          </w:p>
        </w:tc>
        <w:tc>
          <w:tcPr>
            <w:tcW w:w="1000" w:type="dxa"/>
            <w:shd w:val="clear" w:color="auto" w:fill="auto"/>
            <w:noWrap/>
            <w:vAlign w:val="bottom"/>
            <w:hideMark/>
          </w:tcPr>
          <w:p w14:paraId="14890ECD"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DALYs</w:t>
            </w:r>
          </w:p>
        </w:tc>
        <w:tc>
          <w:tcPr>
            <w:tcW w:w="1160" w:type="dxa"/>
            <w:shd w:val="clear" w:color="auto" w:fill="auto"/>
            <w:noWrap/>
            <w:vAlign w:val="bottom"/>
            <w:hideMark/>
          </w:tcPr>
          <w:p w14:paraId="69098D2F"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11370</w:t>
            </w:r>
          </w:p>
        </w:tc>
        <w:tc>
          <w:tcPr>
            <w:tcW w:w="1040" w:type="dxa"/>
            <w:shd w:val="clear" w:color="auto" w:fill="auto"/>
            <w:noWrap/>
            <w:vAlign w:val="bottom"/>
            <w:hideMark/>
          </w:tcPr>
          <w:p w14:paraId="2E7A458D"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711</w:t>
            </w:r>
          </w:p>
        </w:tc>
        <w:tc>
          <w:tcPr>
            <w:tcW w:w="1040" w:type="dxa"/>
            <w:shd w:val="clear" w:color="auto" w:fill="auto"/>
            <w:noWrap/>
            <w:vAlign w:val="bottom"/>
            <w:hideMark/>
          </w:tcPr>
          <w:p w14:paraId="23CB0745"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2109</w:t>
            </w:r>
          </w:p>
        </w:tc>
        <w:tc>
          <w:tcPr>
            <w:tcW w:w="1040" w:type="dxa"/>
            <w:shd w:val="clear" w:color="auto" w:fill="auto"/>
            <w:noWrap/>
            <w:vAlign w:val="bottom"/>
            <w:hideMark/>
          </w:tcPr>
          <w:p w14:paraId="3EE29BC3"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282</w:t>
            </w:r>
          </w:p>
        </w:tc>
        <w:tc>
          <w:tcPr>
            <w:tcW w:w="1160" w:type="dxa"/>
            <w:shd w:val="clear" w:color="auto" w:fill="auto"/>
            <w:noWrap/>
            <w:vAlign w:val="bottom"/>
            <w:hideMark/>
          </w:tcPr>
          <w:p w14:paraId="167E5C70"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2536</w:t>
            </w:r>
          </w:p>
        </w:tc>
        <w:tc>
          <w:tcPr>
            <w:tcW w:w="1160" w:type="dxa"/>
            <w:shd w:val="clear" w:color="auto" w:fill="auto"/>
            <w:noWrap/>
            <w:vAlign w:val="bottom"/>
            <w:hideMark/>
          </w:tcPr>
          <w:p w14:paraId="08ACEAF0"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2436</w:t>
            </w:r>
          </w:p>
        </w:tc>
        <w:tc>
          <w:tcPr>
            <w:tcW w:w="1160" w:type="dxa"/>
            <w:shd w:val="clear" w:color="auto" w:fill="auto"/>
            <w:noWrap/>
            <w:vAlign w:val="bottom"/>
            <w:hideMark/>
          </w:tcPr>
          <w:p w14:paraId="6CBDC024"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19034</w:t>
            </w:r>
          </w:p>
        </w:tc>
      </w:tr>
      <w:tr w:rsidR="00A8047C" w:rsidRPr="00A40217" w14:paraId="52DDF55C" w14:textId="77777777" w:rsidTr="00A8047C">
        <w:trPr>
          <w:trHeight w:val="288"/>
        </w:trPr>
        <w:tc>
          <w:tcPr>
            <w:tcW w:w="1071" w:type="dxa"/>
            <w:shd w:val="clear" w:color="auto" w:fill="auto"/>
            <w:noWrap/>
            <w:vAlign w:val="bottom"/>
            <w:hideMark/>
          </w:tcPr>
          <w:p w14:paraId="63942C12"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30-34 years</w:t>
            </w:r>
          </w:p>
        </w:tc>
        <w:tc>
          <w:tcPr>
            <w:tcW w:w="1000" w:type="dxa"/>
            <w:shd w:val="clear" w:color="auto" w:fill="auto"/>
            <w:noWrap/>
            <w:vAlign w:val="bottom"/>
            <w:hideMark/>
          </w:tcPr>
          <w:p w14:paraId="466B9F62"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DALYs</w:t>
            </w:r>
          </w:p>
        </w:tc>
        <w:tc>
          <w:tcPr>
            <w:tcW w:w="1160" w:type="dxa"/>
            <w:shd w:val="clear" w:color="auto" w:fill="auto"/>
            <w:noWrap/>
            <w:vAlign w:val="bottom"/>
            <w:hideMark/>
          </w:tcPr>
          <w:p w14:paraId="29CE3B35"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14522</w:t>
            </w:r>
          </w:p>
        </w:tc>
        <w:tc>
          <w:tcPr>
            <w:tcW w:w="1040" w:type="dxa"/>
            <w:shd w:val="clear" w:color="auto" w:fill="auto"/>
            <w:noWrap/>
            <w:vAlign w:val="bottom"/>
            <w:hideMark/>
          </w:tcPr>
          <w:p w14:paraId="67C23A77"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817</w:t>
            </w:r>
          </w:p>
        </w:tc>
        <w:tc>
          <w:tcPr>
            <w:tcW w:w="1040" w:type="dxa"/>
            <w:shd w:val="clear" w:color="auto" w:fill="auto"/>
            <w:noWrap/>
            <w:vAlign w:val="bottom"/>
            <w:hideMark/>
          </w:tcPr>
          <w:p w14:paraId="2149DBBF"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1867</w:t>
            </w:r>
          </w:p>
        </w:tc>
        <w:tc>
          <w:tcPr>
            <w:tcW w:w="1040" w:type="dxa"/>
            <w:shd w:val="clear" w:color="auto" w:fill="auto"/>
            <w:noWrap/>
            <w:vAlign w:val="bottom"/>
            <w:hideMark/>
          </w:tcPr>
          <w:p w14:paraId="297FF32C"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600</w:t>
            </w:r>
          </w:p>
        </w:tc>
        <w:tc>
          <w:tcPr>
            <w:tcW w:w="1160" w:type="dxa"/>
            <w:shd w:val="clear" w:color="auto" w:fill="auto"/>
            <w:noWrap/>
            <w:vAlign w:val="bottom"/>
            <w:hideMark/>
          </w:tcPr>
          <w:p w14:paraId="2CA0AF16"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3055</w:t>
            </w:r>
          </w:p>
        </w:tc>
        <w:tc>
          <w:tcPr>
            <w:tcW w:w="1160" w:type="dxa"/>
            <w:shd w:val="clear" w:color="auto" w:fill="auto"/>
            <w:noWrap/>
            <w:vAlign w:val="bottom"/>
            <w:hideMark/>
          </w:tcPr>
          <w:p w14:paraId="2B699923"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3980</w:t>
            </w:r>
          </w:p>
        </w:tc>
        <w:tc>
          <w:tcPr>
            <w:tcW w:w="1160" w:type="dxa"/>
            <w:shd w:val="clear" w:color="auto" w:fill="auto"/>
            <w:noWrap/>
            <w:vAlign w:val="bottom"/>
            <w:hideMark/>
          </w:tcPr>
          <w:p w14:paraId="0D24ABC2"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16526</w:t>
            </w:r>
          </w:p>
        </w:tc>
      </w:tr>
      <w:tr w:rsidR="00A8047C" w:rsidRPr="00A40217" w14:paraId="5FC6F342" w14:textId="77777777" w:rsidTr="00A8047C">
        <w:trPr>
          <w:trHeight w:val="288"/>
        </w:trPr>
        <w:tc>
          <w:tcPr>
            <w:tcW w:w="1071" w:type="dxa"/>
            <w:shd w:val="clear" w:color="auto" w:fill="auto"/>
            <w:noWrap/>
            <w:vAlign w:val="bottom"/>
            <w:hideMark/>
          </w:tcPr>
          <w:p w14:paraId="281AB9FE"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35-39 years</w:t>
            </w:r>
          </w:p>
        </w:tc>
        <w:tc>
          <w:tcPr>
            <w:tcW w:w="1000" w:type="dxa"/>
            <w:shd w:val="clear" w:color="auto" w:fill="auto"/>
            <w:noWrap/>
            <w:vAlign w:val="bottom"/>
            <w:hideMark/>
          </w:tcPr>
          <w:p w14:paraId="245E0A82"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DALYs</w:t>
            </w:r>
          </w:p>
        </w:tc>
        <w:tc>
          <w:tcPr>
            <w:tcW w:w="1160" w:type="dxa"/>
            <w:shd w:val="clear" w:color="auto" w:fill="auto"/>
            <w:noWrap/>
            <w:vAlign w:val="bottom"/>
            <w:hideMark/>
          </w:tcPr>
          <w:p w14:paraId="46C5F0C6"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20821</w:t>
            </w:r>
          </w:p>
        </w:tc>
        <w:tc>
          <w:tcPr>
            <w:tcW w:w="1040" w:type="dxa"/>
            <w:shd w:val="clear" w:color="auto" w:fill="auto"/>
            <w:noWrap/>
            <w:vAlign w:val="bottom"/>
            <w:hideMark/>
          </w:tcPr>
          <w:p w14:paraId="32B2A3B6"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955</w:t>
            </w:r>
          </w:p>
        </w:tc>
        <w:tc>
          <w:tcPr>
            <w:tcW w:w="1040" w:type="dxa"/>
            <w:shd w:val="clear" w:color="auto" w:fill="auto"/>
            <w:noWrap/>
            <w:vAlign w:val="bottom"/>
            <w:hideMark/>
          </w:tcPr>
          <w:p w14:paraId="0A3F5769"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1834</w:t>
            </w:r>
          </w:p>
        </w:tc>
        <w:tc>
          <w:tcPr>
            <w:tcW w:w="1040" w:type="dxa"/>
            <w:shd w:val="clear" w:color="auto" w:fill="auto"/>
            <w:noWrap/>
            <w:vAlign w:val="bottom"/>
            <w:hideMark/>
          </w:tcPr>
          <w:p w14:paraId="3B0905E7"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1053</w:t>
            </w:r>
          </w:p>
        </w:tc>
        <w:tc>
          <w:tcPr>
            <w:tcW w:w="1160" w:type="dxa"/>
            <w:shd w:val="clear" w:color="auto" w:fill="auto"/>
            <w:noWrap/>
            <w:vAlign w:val="bottom"/>
            <w:hideMark/>
          </w:tcPr>
          <w:p w14:paraId="64342F94"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3377</w:t>
            </w:r>
          </w:p>
        </w:tc>
        <w:tc>
          <w:tcPr>
            <w:tcW w:w="1160" w:type="dxa"/>
            <w:shd w:val="clear" w:color="auto" w:fill="auto"/>
            <w:noWrap/>
            <w:vAlign w:val="bottom"/>
            <w:hideMark/>
          </w:tcPr>
          <w:p w14:paraId="4112379A"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5508</w:t>
            </w:r>
          </w:p>
        </w:tc>
        <w:tc>
          <w:tcPr>
            <w:tcW w:w="1160" w:type="dxa"/>
            <w:shd w:val="clear" w:color="auto" w:fill="auto"/>
            <w:noWrap/>
            <w:vAlign w:val="bottom"/>
            <w:hideMark/>
          </w:tcPr>
          <w:p w14:paraId="72EBEBEE"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14099</w:t>
            </w:r>
          </w:p>
        </w:tc>
      </w:tr>
      <w:tr w:rsidR="00A8047C" w:rsidRPr="00A40217" w14:paraId="254240B9" w14:textId="77777777" w:rsidTr="00A8047C">
        <w:trPr>
          <w:trHeight w:val="288"/>
        </w:trPr>
        <w:tc>
          <w:tcPr>
            <w:tcW w:w="1071" w:type="dxa"/>
            <w:shd w:val="clear" w:color="auto" w:fill="auto"/>
            <w:noWrap/>
            <w:vAlign w:val="bottom"/>
            <w:hideMark/>
          </w:tcPr>
          <w:p w14:paraId="6E6F1718"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40-44 years</w:t>
            </w:r>
          </w:p>
        </w:tc>
        <w:tc>
          <w:tcPr>
            <w:tcW w:w="1000" w:type="dxa"/>
            <w:shd w:val="clear" w:color="auto" w:fill="auto"/>
            <w:noWrap/>
            <w:vAlign w:val="bottom"/>
            <w:hideMark/>
          </w:tcPr>
          <w:p w14:paraId="36D5F80B"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DALYs</w:t>
            </w:r>
          </w:p>
        </w:tc>
        <w:tc>
          <w:tcPr>
            <w:tcW w:w="1160" w:type="dxa"/>
            <w:shd w:val="clear" w:color="auto" w:fill="auto"/>
            <w:noWrap/>
            <w:vAlign w:val="bottom"/>
            <w:hideMark/>
          </w:tcPr>
          <w:p w14:paraId="49998F71"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26902</w:t>
            </w:r>
          </w:p>
        </w:tc>
        <w:tc>
          <w:tcPr>
            <w:tcW w:w="1040" w:type="dxa"/>
            <w:shd w:val="clear" w:color="auto" w:fill="auto"/>
            <w:noWrap/>
            <w:vAlign w:val="bottom"/>
            <w:hideMark/>
          </w:tcPr>
          <w:p w14:paraId="2320CCE7"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1170</w:t>
            </w:r>
          </w:p>
        </w:tc>
        <w:tc>
          <w:tcPr>
            <w:tcW w:w="1040" w:type="dxa"/>
            <w:shd w:val="clear" w:color="auto" w:fill="auto"/>
            <w:noWrap/>
            <w:vAlign w:val="bottom"/>
            <w:hideMark/>
          </w:tcPr>
          <w:p w14:paraId="3C616E25"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1998</w:t>
            </w:r>
          </w:p>
        </w:tc>
        <w:tc>
          <w:tcPr>
            <w:tcW w:w="1040" w:type="dxa"/>
            <w:shd w:val="clear" w:color="auto" w:fill="auto"/>
            <w:noWrap/>
            <w:vAlign w:val="bottom"/>
            <w:hideMark/>
          </w:tcPr>
          <w:p w14:paraId="00CB4C13"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2097</w:t>
            </w:r>
          </w:p>
        </w:tc>
        <w:tc>
          <w:tcPr>
            <w:tcW w:w="1160" w:type="dxa"/>
            <w:shd w:val="clear" w:color="auto" w:fill="auto"/>
            <w:noWrap/>
            <w:vAlign w:val="bottom"/>
            <w:hideMark/>
          </w:tcPr>
          <w:p w14:paraId="12322516"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4398</w:t>
            </w:r>
          </w:p>
        </w:tc>
        <w:tc>
          <w:tcPr>
            <w:tcW w:w="1160" w:type="dxa"/>
            <w:shd w:val="clear" w:color="auto" w:fill="auto"/>
            <w:noWrap/>
            <w:vAlign w:val="bottom"/>
            <w:hideMark/>
          </w:tcPr>
          <w:p w14:paraId="28C5689A"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8594</w:t>
            </w:r>
          </w:p>
        </w:tc>
        <w:tc>
          <w:tcPr>
            <w:tcW w:w="1160" w:type="dxa"/>
            <w:shd w:val="clear" w:color="auto" w:fill="auto"/>
            <w:noWrap/>
            <w:vAlign w:val="bottom"/>
            <w:hideMark/>
          </w:tcPr>
          <w:p w14:paraId="384AB659"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13113</w:t>
            </w:r>
          </w:p>
        </w:tc>
      </w:tr>
      <w:tr w:rsidR="00A8047C" w:rsidRPr="00A40217" w14:paraId="2E3AF967" w14:textId="77777777" w:rsidTr="00A8047C">
        <w:trPr>
          <w:trHeight w:val="288"/>
        </w:trPr>
        <w:tc>
          <w:tcPr>
            <w:tcW w:w="1071" w:type="dxa"/>
            <w:shd w:val="clear" w:color="auto" w:fill="auto"/>
            <w:noWrap/>
            <w:vAlign w:val="bottom"/>
            <w:hideMark/>
          </w:tcPr>
          <w:p w14:paraId="79B9C6D4"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45-49 years</w:t>
            </w:r>
          </w:p>
        </w:tc>
        <w:tc>
          <w:tcPr>
            <w:tcW w:w="1000" w:type="dxa"/>
            <w:shd w:val="clear" w:color="auto" w:fill="auto"/>
            <w:noWrap/>
            <w:vAlign w:val="bottom"/>
            <w:hideMark/>
          </w:tcPr>
          <w:p w14:paraId="670DBA1C"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DALYs</w:t>
            </w:r>
          </w:p>
        </w:tc>
        <w:tc>
          <w:tcPr>
            <w:tcW w:w="1160" w:type="dxa"/>
            <w:shd w:val="clear" w:color="auto" w:fill="auto"/>
            <w:noWrap/>
            <w:vAlign w:val="bottom"/>
            <w:hideMark/>
          </w:tcPr>
          <w:p w14:paraId="14A9B132"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38473</w:t>
            </w:r>
          </w:p>
        </w:tc>
        <w:tc>
          <w:tcPr>
            <w:tcW w:w="1040" w:type="dxa"/>
            <w:shd w:val="clear" w:color="auto" w:fill="auto"/>
            <w:noWrap/>
            <w:vAlign w:val="bottom"/>
            <w:hideMark/>
          </w:tcPr>
          <w:p w14:paraId="4CFF89A7"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1615</w:t>
            </w:r>
          </w:p>
        </w:tc>
        <w:tc>
          <w:tcPr>
            <w:tcW w:w="1040" w:type="dxa"/>
            <w:shd w:val="clear" w:color="auto" w:fill="auto"/>
            <w:noWrap/>
            <w:vAlign w:val="bottom"/>
            <w:hideMark/>
          </w:tcPr>
          <w:p w14:paraId="0250B83E"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2154</w:t>
            </w:r>
          </w:p>
        </w:tc>
        <w:tc>
          <w:tcPr>
            <w:tcW w:w="1040" w:type="dxa"/>
            <w:shd w:val="clear" w:color="auto" w:fill="auto"/>
            <w:noWrap/>
            <w:vAlign w:val="bottom"/>
            <w:hideMark/>
          </w:tcPr>
          <w:p w14:paraId="6DB8DD91"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3145</w:t>
            </w:r>
          </w:p>
        </w:tc>
        <w:tc>
          <w:tcPr>
            <w:tcW w:w="1160" w:type="dxa"/>
            <w:shd w:val="clear" w:color="auto" w:fill="auto"/>
            <w:noWrap/>
            <w:vAlign w:val="bottom"/>
            <w:hideMark/>
          </w:tcPr>
          <w:p w14:paraId="6818E29C"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7027</w:t>
            </w:r>
          </w:p>
        </w:tc>
        <w:tc>
          <w:tcPr>
            <w:tcW w:w="1160" w:type="dxa"/>
            <w:shd w:val="clear" w:color="auto" w:fill="auto"/>
            <w:noWrap/>
            <w:vAlign w:val="bottom"/>
            <w:hideMark/>
          </w:tcPr>
          <w:p w14:paraId="1DBA70D6"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12459</w:t>
            </w:r>
          </w:p>
        </w:tc>
        <w:tc>
          <w:tcPr>
            <w:tcW w:w="1160" w:type="dxa"/>
            <w:shd w:val="clear" w:color="auto" w:fill="auto"/>
            <w:noWrap/>
            <w:vAlign w:val="bottom"/>
            <w:hideMark/>
          </w:tcPr>
          <w:p w14:paraId="14878661"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12427</w:t>
            </w:r>
          </w:p>
        </w:tc>
      </w:tr>
      <w:tr w:rsidR="00A8047C" w:rsidRPr="00A40217" w14:paraId="69D070E6" w14:textId="77777777" w:rsidTr="00A8047C">
        <w:trPr>
          <w:trHeight w:val="288"/>
        </w:trPr>
        <w:tc>
          <w:tcPr>
            <w:tcW w:w="1071" w:type="dxa"/>
            <w:shd w:val="clear" w:color="auto" w:fill="auto"/>
            <w:noWrap/>
            <w:vAlign w:val="bottom"/>
            <w:hideMark/>
          </w:tcPr>
          <w:p w14:paraId="277EA6CE"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50-54 years</w:t>
            </w:r>
          </w:p>
        </w:tc>
        <w:tc>
          <w:tcPr>
            <w:tcW w:w="1000" w:type="dxa"/>
            <w:shd w:val="clear" w:color="auto" w:fill="auto"/>
            <w:noWrap/>
            <w:vAlign w:val="bottom"/>
            <w:hideMark/>
          </w:tcPr>
          <w:p w14:paraId="40D20421"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DALYs</w:t>
            </w:r>
          </w:p>
        </w:tc>
        <w:tc>
          <w:tcPr>
            <w:tcW w:w="1160" w:type="dxa"/>
            <w:shd w:val="clear" w:color="auto" w:fill="auto"/>
            <w:noWrap/>
            <w:vAlign w:val="bottom"/>
            <w:hideMark/>
          </w:tcPr>
          <w:p w14:paraId="53F530EA"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46232</w:t>
            </w:r>
          </w:p>
        </w:tc>
        <w:tc>
          <w:tcPr>
            <w:tcW w:w="1040" w:type="dxa"/>
            <w:shd w:val="clear" w:color="auto" w:fill="auto"/>
            <w:noWrap/>
            <w:vAlign w:val="bottom"/>
            <w:hideMark/>
          </w:tcPr>
          <w:p w14:paraId="0062736D"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2233</w:t>
            </w:r>
          </w:p>
        </w:tc>
        <w:tc>
          <w:tcPr>
            <w:tcW w:w="1040" w:type="dxa"/>
            <w:shd w:val="clear" w:color="auto" w:fill="auto"/>
            <w:noWrap/>
            <w:vAlign w:val="bottom"/>
            <w:hideMark/>
          </w:tcPr>
          <w:p w14:paraId="5BF2DE15"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2816</w:t>
            </w:r>
          </w:p>
        </w:tc>
        <w:tc>
          <w:tcPr>
            <w:tcW w:w="1040" w:type="dxa"/>
            <w:shd w:val="clear" w:color="auto" w:fill="auto"/>
            <w:noWrap/>
            <w:vAlign w:val="bottom"/>
            <w:hideMark/>
          </w:tcPr>
          <w:p w14:paraId="0F3EC265"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4680</w:t>
            </w:r>
          </w:p>
        </w:tc>
        <w:tc>
          <w:tcPr>
            <w:tcW w:w="1160" w:type="dxa"/>
            <w:shd w:val="clear" w:color="auto" w:fill="auto"/>
            <w:noWrap/>
            <w:vAlign w:val="bottom"/>
            <w:hideMark/>
          </w:tcPr>
          <w:p w14:paraId="75B45ABB"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10934</w:t>
            </w:r>
          </w:p>
        </w:tc>
        <w:tc>
          <w:tcPr>
            <w:tcW w:w="1160" w:type="dxa"/>
            <w:shd w:val="clear" w:color="auto" w:fill="auto"/>
            <w:noWrap/>
            <w:vAlign w:val="bottom"/>
            <w:hideMark/>
          </w:tcPr>
          <w:p w14:paraId="2309A10F"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16086</w:t>
            </w:r>
          </w:p>
        </w:tc>
        <w:tc>
          <w:tcPr>
            <w:tcW w:w="1160" w:type="dxa"/>
            <w:shd w:val="clear" w:color="auto" w:fill="auto"/>
            <w:noWrap/>
            <w:vAlign w:val="bottom"/>
            <w:hideMark/>
          </w:tcPr>
          <w:p w14:paraId="4374904B"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10098</w:t>
            </w:r>
          </w:p>
        </w:tc>
      </w:tr>
      <w:tr w:rsidR="00A8047C" w:rsidRPr="00A40217" w14:paraId="134E00AB" w14:textId="77777777" w:rsidTr="00A8047C">
        <w:trPr>
          <w:trHeight w:val="288"/>
        </w:trPr>
        <w:tc>
          <w:tcPr>
            <w:tcW w:w="1071" w:type="dxa"/>
            <w:shd w:val="clear" w:color="auto" w:fill="auto"/>
            <w:noWrap/>
            <w:vAlign w:val="bottom"/>
            <w:hideMark/>
          </w:tcPr>
          <w:p w14:paraId="7C8817B8"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55-59 years</w:t>
            </w:r>
          </w:p>
        </w:tc>
        <w:tc>
          <w:tcPr>
            <w:tcW w:w="1000" w:type="dxa"/>
            <w:shd w:val="clear" w:color="auto" w:fill="auto"/>
            <w:noWrap/>
            <w:vAlign w:val="bottom"/>
            <w:hideMark/>
          </w:tcPr>
          <w:p w14:paraId="0C02EAD4"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DALYs</w:t>
            </w:r>
          </w:p>
        </w:tc>
        <w:tc>
          <w:tcPr>
            <w:tcW w:w="1160" w:type="dxa"/>
            <w:shd w:val="clear" w:color="auto" w:fill="auto"/>
            <w:noWrap/>
            <w:vAlign w:val="bottom"/>
            <w:hideMark/>
          </w:tcPr>
          <w:p w14:paraId="66F77997"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55801</w:t>
            </w:r>
          </w:p>
        </w:tc>
        <w:tc>
          <w:tcPr>
            <w:tcW w:w="1040" w:type="dxa"/>
            <w:shd w:val="clear" w:color="auto" w:fill="auto"/>
            <w:noWrap/>
            <w:vAlign w:val="bottom"/>
            <w:hideMark/>
          </w:tcPr>
          <w:p w14:paraId="3F0086FF"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3150</w:t>
            </w:r>
          </w:p>
        </w:tc>
        <w:tc>
          <w:tcPr>
            <w:tcW w:w="1040" w:type="dxa"/>
            <w:shd w:val="clear" w:color="auto" w:fill="auto"/>
            <w:noWrap/>
            <w:vAlign w:val="bottom"/>
            <w:hideMark/>
          </w:tcPr>
          <w:p w14:paraId="1247C91E"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3555</w:t>
            </w:r>
          </w:p>
        </w:tc>
        <w:tc>
          <w:tcPr>
            <w:tcW w:w="1040" w:type="dxa"/>
            <w:shd w:val="clear" w:color="auto" w:fill="auto"/>
            <w:noWrap/>
            <w:vAlign w:val="bottom"/>
            <w:hideMark/>
          </w:tcPr>
          <w:p w14:paraId="66FB4DA0"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6146</w:t>
            </w:r>
          </w:p>
        </w:tc>
        <w:tc>
          <w:tcPr>
            <w:tcW w:w="1160" w:type="dxa"/>
            <w:shd w:val="clear" w:color="auto" w:fill="auto"/>
            <w:noWrap/>
            <w:vAlign w:val="bottom"/>
            <w:hideMark/>
          </w:tcPr>
          <w:p w14:paraId="51DDE923"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16277</w:t>
            </w:r>
          </w:p>
        </w:tc>
        <w:tc>
          <w:tcPr>
            <w:tcW w:w="1160" w:type="dxa"/>
            <w:shd w:val="clear" w:color="auto" w:fill="auto"/>
            <w:noWrap/>
            <w:vAlign w:val="bottom"/>
            <w:hideMark/>
          </w:tcPr>
          <w:p w14:paraId="4945C0C7"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18818</w:t>
            </w:r>
          </w:p>
        </w:tc>
        <w:tc>
          <w:tcPr>
            <w:tcW w:w="1160" w:type="dxa"/>
            <w:shd w:val="clear" w:color="auto" w:fill="auto"/>
            <w:noWrap/>
            <w:vAlign w:val="bottom"/>
            <w:hideMark/>
          </w:tcPr>
          <w:p w14:paraId="14015CB3"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8903</w:t>
            </w:r>
          </w:p>
        </w:tc>
      </w:tr>
      <w:tr w:rsidR="00A8047C" w:rsidRPr="00A40217" w14:paraId="19F40628" w14:textId="77777777" w:rsidTr="00A8047C">
        <w:trPr>
          <w:trHeight w:val="288"/>
        </w:trPr>
        <w:tc>
          <w:tcPr>
            <w:tcW w:w="1071" w:type="dxa"/>
            <w:shd w:val="clear" w:color="auto" w:fill="auto"/>
            <w:noWrap/>
            <w:vAlign w:val="bottom"/>
            <w:hideMark/>
          </w:tcPr>
          <w:p w14:paraId="327C5818"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60-64 years</w:t>
            </w:r>
          </w:p>
        </w:tc>
        <w:tc>
          <w:tcPr>
            <w:tcW w:w="1000" w:type="dxa"/>
            <w:shd w:val="clear" w:color="auto" w:fill="auto"/>
            <w:noWrap/>
            <w:vAlign w:val="bottom"/>
            <w:hideMark/>
          </w:tcPr>
          <w:p w14:paraId="674C5E7E"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DALYs</w:t>
            </w:r>
          </w:p>
        </w:tc>
        <w:tc>
          <w:tcPr>
            <w:tcW w:w="1160" w:type="dxa"/>
            <w:shd w:val="clear" w:color="auto" w:fill="auto"/>
            <w:noWrap/>
            <w:vAlign w:val="bottom"/>
            <w:hideMark/>
          </w:tcPr>
          <w:p w14:paraId="77D1F670"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51477</w:t>
            </w:r>
          </w:p>
        </w:tc>
        <w:tc>
          <w:tcPr>
            <w:tcW w:w="1040" w:type="dxa"/>
            <w:shd w:val="clear" w:color="auto" w:fill="auto"/>
            <w:noWrap/>
            <w:vAlign w:val="bottom"/>
            <w:hideMark/>
          </w:tcPr>
          <w:p w14:paraId="4CE831C1"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5468</w:t>
            </w:r>
          </w:p>
        </w:tc>
        <w:tc>
          <w:tcPr>
            <w:tcW w:w="1040" w:type="dxa"/>
            <w:shd w:val="clear" w:color="auto" w:fill="auto"/>
            <w:noWrap/>
            <w:vAlign w:val="bottom"/>
            <w:hideMark/>
          </w:tcPr>
          <w:p w14:paraId="02C997C0"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4421</w:t>
            </w:r>
          </w:p>
        </w:tc>
        <w:tc>
          <w:tcPr>
            <w:tcW w:w="1040" w:type="dxa"/>
            <w:shd w:val="clear" w:color="auto" w:fill="auto"/>
            <w:noWrap/>
            <w:vAlign w:val="bottom"/>
            <w:hideMark/>
          </w:tcPr>
          <w:p w14:paraId="0ACF640A"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5983</w:t>
            </w:r>
          </w:p>
        </w:tc>
        <w:tc>
          <w:tcPr>
            <w:tcW w:w="1160" w:type="dxa"/>
            <w:shd w:val="clear" w:color="auto" w:fill="auto"/>
            <w:noWrap/>
            <w:vAlign w:val="bottom"/>
            <w:hideMark/>
          </w:tcPr>
          <w:p w14:paraId="513D8B75"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19155</w:t>
            </w:r>
          </w:p>
        </w:tc>
        <w:tc>
          <w:tcPr>
            <w:tcW w:w="1160" w:type="dxa"/>
            <w:shd w:val="clear" w:color="auto" w:fill="auto"/>
            <w:noWrap/>
            <w:vAlign w:val="bottom"/>
            <w:hideMark/>
          </w:tcPr>
          <w:p w14:paraId="411BDE56"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19752</w:t>
            </w:r>
          </w:p>
        </w:tc>
        <w:tc>
          <w:tcPr>
            <w:tcW w:w="1160" w:type="dxa"/>
            <w:shd w:val="clear" w:color="auto" w:fill="auto"/>
            <w:noWrap/>
            <w:vAlign w:val="bottom"/>
            <w:hideMark/>
          </w:tcPr>
          <w:p w14:paraId="652D67CD"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6421</w:t>
            </w:r>
          </w:p>
        </w:tc>
      </w:tr>
      <w:tr w:rsidR="00A8047C" w:rsidRPr="00A40217" w14:paraId="47A07794" w14:textId="77777777" w:rsidTr="00A8047C">
        <w:trPr>
          <w:trHeight w:val="288"/>
        </w:trPr>
        <w:tc>
          <w:tcPr>
            <w:tcW w:w="1071" w:type="dxa"/>
            <w:shd w:val="clear" w:color="auto" w:fill="auto"/>
            <w:noWrap/>
            <w:vAlign w:val="bottom"/>
            <w:hideMark/>
          </w:tcPr>
          <w:p w14:paraId="419CE879"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65-69 years</w:t>
            </w:r>
          </w:p>
        </w:tc>
        <w:tc>
          <w:tcPr>
            <w:tcW w:w="1000" w:type="dxa"/>
            <w:shd w:val="clear" w:color="auto" w:fill="auto"/>
            <w:noWrap/>
            <w:vAlign w:val="bottom"/>
            <w:hideMark/>
          </w:tcPr>
          <w:p w14:paraId="3B8F4FC9"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DALYs</w:t>
            </w:r>
          </w:p>
        </w:tc>
        <w:tc>
          <w:tcPr>
            <w:tcW w:w="1160" w:type="dxa"/>
            <w:shd w:val="clear" w:color="auto" w:fill="auto"/>
            <w:noWrap/>
            <w:vAlign w:val="bottom"/>
            <w:hideMark/>
          </w:tcPr>
          <w:p w14:paraId="03F4A618"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49067</w:t>
            </w:r>
          </w:p>
        </w:tc>
        <w:tc>
          <w:tcPr>
            <w:tcW w:w="1040" w:type="dxa"/>
            <w:shd w:val="clear" w:color="auto" w:fill="auto"/>
            <w:noWrap/>
            <w:vAlign w:val="bottom"/>
            <w:hideMark/>
          </w:tcPr>
          <w:p w14:paraId="5B94928D"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6176</w:t>
            </w:r>
          </w:p>
        </w:tc>
        <w:tc>
          <w:tcPr>
            <w:tcW w:w="1040" w:type="dxa"/>
            <w:shd w:val="clear" w:color="auto" w:fill="auto"/>
            <w:noWrap/>
            <w:vAlign w:val="bottom"/>
            <w:hideMark/>
          </w:tcPr>
          <w:p w14:paraId="6DC70F06"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5335</w:t>
            </w:r>
          </w:p>
        </w:tc>
        <w:tc>
          <w:tcPr>
            <w:tcW w:w="1040" w:type="dxa"/>
            <w:shd w:val="clear" w:color="auto" w:fill="auto"/>
            <w:noWrap/>
            <w:vAlign w:val="bottom"/>
            <w:hideMark/>
          </w:tcPr>
          <w:p w14:paraId="0898574A"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5112</w:t>
            </w:r>
          </w:p>
        </w:tc>
        <w:tc>
          <w:tcPr>
            <w:tcW w:w="1160" w:type="dxa"/>
            <w:shd w:val="clear" w:color="auto" w:fill="auto"/>
            <w:noWrap/>
            <w:vAlign w:val="bottom"/>
            <w:hideMark/>
          </w:tcPr>
          <w:p w14:paraId="575959F8"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25184</w:t>
            </w:r>
          </w:p>
        </w:tc>
        <w:tc>
          <w:tcPr>
            <w:tcW w:w="1160" w:type="dxa"/>
            <w:shd w:val="clear" w:color="auto" w:fill="auto"/>
            <w:noWrap/>
            <w:vAlign w:val="bottom"/>
            <w:hideMark/>
          </w:tcPr>
          <w:p w14:paraId="19DD5FC1"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17204</w:t>
            </w:r>
          </w:p>
        </w:tc>
        <w:tc>
          <w:tcPr>
            <w:tcW w:w="1160" w:type="dxa"/>
            <w:shd w:val="clear" w:color="auto" w:fill="auto"/>
            <w:noWrap/>
            <w:vAlign w:val="bottom"/>
            <w:hideMark/>
          </w:tcPr>
          <w:p w14:paraId="5CAF2EBA"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4644</w:t>
            </w:r>
          </w:p>
        </w:tc>
      </w:tr>
      <w:tr w:rsidR="00A8047C" w:rsidRPr="00A40217" w14:paraId="0BDE8B01" w14:textId="77777777" w:rsidTr="00A8047C">
        <w:trPr>
          <w:trHeight w:val="288"/>
        </w:trPr>
        <w:tc>
          <w:tcPr>
            <w:tcW w:w="1071" w:type="dxa"/>
            <w:shd w:val="clear" w:color="auto" w:fill="auto"/>
            <w:noWrap/>
            <w:vAlign w:val="bottom"/>
            <w:hideMark/>
          </w:tcPr>
          <w:p w14:paraId="721832B8"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70-74 years</w:t>
            </w:r>
          </w:p>
        </w:tc>
        <w:tc>
          <w:tcPr>
            <w:tcW w:w="1000" w:type="dxa"/>
            <w:shd w:val="clear" w:color="auto" w:fill="auto"/>
            <w:noWrap/>
            <w:vAlign w:val="bottom"/>
            <w:hideMark/>
          </w:tcPr>
          <w:p w14:paraId="255EA166"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DALYs</w:t>
            </w:r>
          </w:p>
        </w:tc>
        <w:tc>
          <w:tcPr>
            <w:tcW w:w="1160" w:type="dxa"/>
            <w:shd w:val="clear" w:color="auto" w:fill="auto"/>
            <w:noWrap/>
            <w:vAlign w:val="bottom"/>
            <w:hideMark/>
          </w:tcPr>
          <w:p w14:paraId="3A6296E7"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43840</w:t>
            </w:r>
          </w:p>
        </w:tc>
        <w:tc>
          <w:tcPr>
            <w:tcW w:w="1040" w:type="dxa"/>
            <w:shd w:val="clear" w:color="auto" w:fill="auto"/>
            <w:noWrap/>
            <w:vAlign w:val="bottom"/>
            <w:hideMark/>
          </w:tcPr>
          <w:p w14:paraId="7343F561"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6555</w:t>
            </w:r>
          </w:p>
        </w:tc>
        <w:tc>
          <w:tcPr>
            <w:tcW w:w="1040" w:type="dxa"/>
            <w:shd w:val="clear" w:color="auto" w:fill="auto"/>
            <w:noWrap/>
            <w:vAlign w:val="bottom"/>
            <w:hideMark/>
          </w:tcPr>
          <w:p w14:paraId="112985CC"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5450</w:t>
            </w:r>
          </w:p>
        </w:tc>
        <w:tc>
          <w:tcPr>
            <w:tcW w:w="1040" w:type="dxa"/>
            <w:shd w:val="clear" w:color="auto" w:fill="auto"/>
            <w:noWrap/>
            <w:vAlign w:val="bottom"/>
            <w:hideMark/>
          </w:tcPr>
          <w:p w14:paraId="00FEAAD2"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3389</w:t>
            </w:r>
          </w:p>
        </w:tc>
        <w:tc>
          <w:tcPr>
            <w:tcW w:w="1160" w:type="dxa"/>
            <w:shd w:val="clear" w:color="auto" w:fill="auto"/>
            <w:noWrap/>
            <w:vAlign w:val="bottom"/>
            <w:hideMark/>
          </w:tcPr>
          <w:p w14:paraId="44EBE73F"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25017</w:t>
            </w:r>
          </w:p>
        </w:tc>
        <w:tc>
          <w:tcPr>
            <w:tcW w:w="1160" w:type="dxa"/>
            <w:shd w:val="clear" w:color="auto" w:fill="auto"/>
            <w:noWrap/>
            <w:vAlign w:val="bottom"/>
            <w:hideMark/>
          </w:tcPr>
          <w:p w14:paraId="29133521"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12187</w:t>
            </w:r>
          </w:p>
        </w:tc>
        <w:tc>
          <w:tcPr>
            <w:tcW w:w="1160" w:type="dxa"/>
            <w:shd w:val="clear" w:color="auto" w:fill="auto"/>
            <w:noWrap/>
            <w:vAlign w:val="bottom"/>
            <w:hideMark/>
          </w:tcPr>
          <w:p w14:paraId="60E9FEBD"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2739</w:t>
            </w:r>
          </w:p>
        </w:tc>
      </w:tr>
      <w:tr w:rsidR="00A8047C" w:rsidRPr="00A40217" w14:paraId="00F2F829" w14:textId="77777777" w:rsidTr="00A8047C">
        <w:trPr>
          <w:trHeight w:val="288"/>
        </w:trPr>
        <w:tc>
          <w:tcPr>
            <w:tcW w:w="1071" w:type="dxa"/>
            <w:shd w:val="clear" w:color="auto" w:fill="auto"/>
            <w:noWrap/>
            <w:vAlign w:val="bottom"/>
            <w:hideMark/>
          </w:tcPr>
          <w:p w14:paraId="73875FE1"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75-79 years</w:t>
            </w:r>
          </w:p>
        </w:tc>
        <w:tc>
          <w:tcPr>
            <w:tcW w:w="1000" w:type="dxa"/>
            <w:shd w:val="clear" w:color="auto" w:fill="auto"/>
            <w:noWrap/>
            <w:vAlign w:val="bottom"/>
            <w:hideMark/>
          </w:tcPr>
          <w:p w14:paraId="2B76359F"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DALYs</w:t>
            </w:r>
          </w:p>
        </w:tc>
        <w:tc>
          <w:tcPr>
            <w:tcW w:w="1160" w:type="dxa"/>
            <w:shd w:val="clear" w:color="auto" w:fill="auto"/>
            <w:noWrap/>
            <w:vAlign w:val="bottom"/>
            <w:hideMark/>
          </w:tcPr>
          <w:p w14:paraId="70F3EA67"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34504</w:t>
            </w:r>
          </w:p>
        </w:tc>
        <w:tc>
          <w:tcPr>
            <w:tcW w:w="1040" w:type="dxa"/>
            <w:shd w:val="clear" w:color="auto" w:fill="auto"/>
            <w:noWrap/>
            <w:vAlign w:val="bottom"/>
            <w:hideMark/>
          </w:tcPr>
          <w:p w14:paraId="587462DC"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6956</w:t>
            </w:r>
          </w:p>
        </w:tc>
        <w:tc>
          <w:tcPr>
            <w:tcW w:w="1040" w:type="dxa"/>
            <w:shd w:val="clear" w:color="auto" w:fill="auto"/>
            <w:noWrap/>
            <w:vAlign w:val="bottom"/>
            <w:hideMark/>
          </w:tcPr>
          <w:p w14:paraId="04016C11"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5054</w:t>
            </w:r>
          </w:p>
        </w:tc>
        <w:tc>
          <w:tcPr>
            <w:tcW w:w="1040" w:type="dxa"/>
            <w:shd w:val="clear" w:color="auto" w:fill="auto"/>
            <w:noWrap/>
            <w:vAlign w:val="bottom"/>
            <w:hideMark/>
          </w:tcPr>
          <w:p w14:paraId="459B68FF"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1990</w:t>
            </w:r>
          </w:p>
        </w:tc>
        <w:tc>
          <w:tcPr>
            <w:tcW w:w="1160" w:type="dxa"/>
            <w:shd w:val="clear" w:color="auto" w:fill="auto"/>
            <w:noWrap/>
            <w:vAlign w:val="bottom"/>
            <w:hideMark/>
          </w:tcPr>
          <w:p w14:paraId="7617C78A"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22902</w:t>
            </w:r>
          </w:p>
        </w:tc>
        <w:tc>
          <w:tcPr>
            <w:tcW w:w="1160" w:type="dxa"/>
            <w:shd w:val="clear" w:color="auto" w:fill="auto"/>
            <w:noWrap/>
            <w:vAlign w:val="bottom"/>
            <w:hideMark/>
          </w:tcPr>
          <w:p w14:paraId="094EEF39"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10362</w:t>
            </w:r>
          </w:p>
        </w:tc>
        <w:tc>
          <w:tcPr>
            <w:tcW w:w="1160" w:type="dxa"/>
            <w:shd w:val="clear" w:color="auto" w:fill="auto"/>
            <w:noWrap/>
            <w:vAlign w:val="bottom"/>
            <w:hideMark/>
          </w:tcPr>
          <w:p w14:paraId="343C1B60"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1797</w:t>
            </w:r>
          </w:p>
        </w:tc>
      </w:tr>
      <w:tr w:rsidR="00A8047C" w:rsidRPr="00A40217" w14:paraId="150460A3" w14:textId="77777777" w:rsidTr="00A8047C">
        <w:trPr>
          <w:trHeight w:val="288"/>
        </w:trPr>
        <w:tc>
          <w:tcPr>
            <w:tcW w:w="1071" w:type="dxa"/>
            <w:shd w:val="clear" w:color="auto" w:fill="auto"/>
            <w:noWrap/>
            <w:vAlign w:val="bottom"/>
            <w:hideMark/>
          </w:tcPr>
          <w:p w14:paraId="0426FEE9"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80+ years</w:t>
            </w:r>
          </w:p>
        </w:tc>
        <w:tc>
          <w:tcPr>
            <w:tcW w:w="1000" w:type="dxa"/>
            <w:shd w:val="clear" w:color="auto" w:fill="auto"/>
            <w:noWrap/>
            <w:vAlign w:val="bottom"/>
            <w:hideMark/>
          </w:tcPr>
          <w:p w14:paraId="670DE518" w14:textId="77777777"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DALYs</w:t>
            </w:r>
          </w:p>
        </w:tc>
        <w:tc>
          <w:tcPr>
            <w:tcW w:w="1160" w:type="dxa"/>
            <w:shd w:val="clear" w:color="auto" w:fill="auto"/>
            <w:noWrap/>
            <w:vAlign w:val="bottom"/>
            <w:hideMark/>
          </w:tcPr>
          <w:p w14:paraId="1B1AB4C0"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37576</w:t>
            </w:r>
          </w:p>
        </w:tc>
        <w:tc>
          <w:tcPr>
            <w:tcW w:w="1040" w:type="dxa"/>
            <w:shd w:val="clear" w:color="auto" w:fill="auto"/>
            <w:noWrap/>
            <w:vAlign w:val="bottom"/>
            <w:hideMark/>
          </w:tcPr>
          <w:p w14:paraId="6A94FAF8"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6996</w:t>
            </w:r>
          </w:p>
        </w:tc>
        <w:tc>
          <w:tcPr>
            <w:tcW w:w="1040" w:type="dxa"/>
            <w:shd w:val="clear" w:color="auto" w:fill="auto"/>
            <w:noWrap/>
            <w:vAlign w:val="bottom"/>
            <w:hideMark/>
          </w:tcPr>
          <w:p w14:paraId="706CF866"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6071</w:t>
            </w:r>
          </w:p>
        </w:tc>
        <w:tc>
          <w:tcPr>
            <w:tcW w:w="1040" w:type="dxa"/>
            <w:shd w:val="clear" w:color="auto" w:fill="auto"/>
            <w:noWrap/>
            <w:vAlign w:val="bottom"/>
            <w:hideMark/>
          </w:tcPr>
          <w:p w14:paraId="1F824802"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1127</w:t>
            </w:r>
          </w:p>
        </w:tc>
        <w:tc>
          <w:tcPr>
            <w:tcW w:w="1160" w:type="dxa"/>
            <w:shd w:val="clear" w:color="auto" w:fill="auto"/>
            <w:noWrap/>
            <w:vAlign w:val="bottom"/>
            <w:hideMark/>
          </w:tcPr>
          <w:p w14:paraId="64113E61"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26513</w:t>
            </w:r>
          </w:p>
        </w:tc>
        <w:tc>
          <w:tcPr>
            <w:tcW w:w="1160" w:type="dxa"/>
            <w:shd w:val="clear" w:color="auto" w:fill="auto"/>
            <w:noWrap/>
            <w:vAlign w:val="bottom"/>
            <w:hideMark/>
          </w:tcPr>
          <w:p w14:paraId="0492FE49"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8539</w:t>
            </w:r>
          </w:p>
        </w:tc>
        <w:tc>
          <w:tcPr>
            <w:tcW w:w="1160" w:type="dxa"/>
            <w:shd w:val="clear" w:color="auto" w:fill="auto"/>
            <w:noWrap/>
            <w:vAlign w:val="bottom"/>
            <w:hideMark/>
          </w:tcPr>
          <w:p w14:paraId="1631F157" w14:textId="77777777"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1265</w:t>
            </w:r>
          </w:p>
        </w:tc>
      </w:tr>
      <w:tr w:rsidR="00A8047C" w:rsidRPr="00A40217" w14:paraId="2A8F502D" w14:textId="77777777" w:rsidTr="00A8047C">
        <w:trPr>
          <w:trHeight w:val="288"/>
        </w:trPr>
        <w:tc>
          <w:tcPr>
            <w:tcW w:w="1071" w:type="dxa"/>
            <w:shd w:val="clear" w:color="auto" w:fill="D0CECE" w:themeFill="background2" w:themeFillShade="E6"/>
            <w:noWrap/>
            <w:vAlign w:val="bottom"/>
          </w:tcPr>
          <w:p w14:paraId="02F55468" w14:textId="2A1E8F1B"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Total</w:t>
            </w:r>
          </w:p>
        </w:tc>
        <w:tc>
          <w:tcPr>
            <w:tcW w:w="1000" w:type="dxa"/>
            <w:shd w:val="clear" w:color="auto" w:fill="D0CECE" w:themeFill="background2" w:themeFillShade="E6"/>
            <w:noWrap/>
            <w:vAlign w:val="bottom"/>
          </w:tcPr>
          <w:p w14:paraId="18B3BD86" w14:textId="28B4D5A1" w:rsidR="00A8047C" w:rsidRPr="00A40217" w:rsidRDefault="00A8047C" w:rsidP="00A8047C">
            <w:pPr>
              <w:spacing w:after="0" w:line="240" w:lineRule="auto"/>
              <w:rPr>
                <w:rFonts w:eastAsia="Times New Roman" w:cstheme="minorHAnsi"/>
                <w:color w:val="000000"/>
                <w:sz w:val="18"/>
                <w:szCs w:val="18"/>
                <w:lang w:eastAsia="en-IN"/>
              </w:rPr>
            </w:pPr>
            <w:r w:rsidRPr="00A40217">
              <w:rPr>
                <w:rFonts w:eastAsia="Times New Roman" w:cstheme="minorHAnsi"/>
                <w:color w:val="000000"/>
                <w:sz w:val="18"/>
                <w:szCs w:val="18"/>
                <w:lang w:eastAsia="en-IN"/>
              </w:rPr>
              <w:t>DALYs</w:t>
            </w:r>
          </w:p>
        </w:tc>
        <w:tc>
          <w:tcPr>
            <w:tcW w:w="1160" w:type="dxa"/>
            <w:shd w:val="clear" w:color="auto" w:fill="D0CECE" w:themeFill="background2" w:themeFillShade="E6"/>
            <w:noWrap/>
            <w:vAlign w:val="bottom"/>
          </w:tcPr>
          <w:p w14:paraId="427A89CF" w14:textId="4B18D802"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439899</w:t>
            </w:r>
          </w:p>
        </w:tc>
        <w:tc>
          <w:tcPr>
            <w:tcW w:w="1040" w:type="dxa"/>
            <w:shd w:val="clear" w:color="auto" w:fill="D0CECE" w:themeFill="background2" w:themeFillShade="E6"/>
            <w:noWrap/>
            <w:vAlign w:val="bottom"/>
          </w:tcPr>
          <w:p w14:paraId="7205A9A8" w14:textId="13238EC2"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43832</w:t>
            </w:r>
          </w:p>
        </w:tc>
        <w:tc>
          <w:tcPr>
            <w:tcW w:w="1040" w:type="dxa"/>
            <w:shd w:val="clear" w:color="auto" w:fill="D0CECE" w:themeFill="background2" w:themeFillShade="E6"/>
            <w:noWrap/>
            <w:vAlign w:val="bottom"/>
          </w:tcPr>
          <w:p w14:paraId="5E4A7B9B" w14:textId="56286DA2"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46003</w:t>
            </w:r>
          </w:p>
        </w:tc>
        <w:tc>
          <w:tcPr>
            <w:tcW w:w="1040" w:type="dxa"/>
            <w:shd w:val="clear" w:color="auto" w:fill="D0CECE" w:themeFill="background2" w:themeFillShade="E6"/>
            <w:noWrap/>
            <w:vAlign w:val="bottom"/>
          </w:tcPr>
          <w:p w14:paraId="6A74C099" w14:textId="6802D2CA"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35799</w:t>
            </w:r>
          </w:p>
        </w:tc>
        <w:tc>
          <w:tcPr>
            <w:tcW w:w="1160" w:type="dxa"/>
            <w:shd w:val="clear" w:color="auto" w:fill="D0CECE" w:themeFill="background2" w:themeFillShade="E6"/>
            <w:noWrap/>
            <w:vAlign w:val="bottom"/>
          </w:tcPr>
          <w:p w14:paraId="1C0D9EE0" w14:textId="4F5D81A6"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169226</w:t>
            </w:r>
          </w:p>
        </w:tc>
        <w:tc>
          <w:tcPr>
            <w:tcW w:w="1160" w:type="dxa"/>
            <w:shd w:val="clear" w:color="auto" w:fill="D0CECE" w:themeFill="background2" w:themeFillShade="E6"/>
            <w:noWrap/>
            <w:vAlign w:val="bottom"/>
          </w:tcPr>
          <w:p w14:paraId="5194C36D" w14:textId="51439738"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138021</w:t>
            </w:r>
          </w:p>
        </w:tc>
        <w:tc>
          <w:tcPr>
            <w:tcW w:w="1160" w:type="dxa"/>
            <w:shd w:val="clear" w:color="auto" w:fill="D0CECE" w:themeFill="background2" w:themeFillShade="E6"/>
            <w:noWrap/>
            <w:vAlign w:val="bottom"/>
          </w:tcPr>
          <w:p w14:paraId="531A1473" w14:textId="290D17FC" w:rsidR="00A8047C" w:rsidRPr="00A40217" w:rsidRDefault="00A8047C" w:rsidP="00A8047C">
            <w:pPr>
              <w:spacing w:after="0" w:line="240" w:lineRule="auto"/>
              <w:jc w:val="right"/>
              <w:rPr>
                <w:rFonts w:eastAsia="Times New Roman" w:cstheme="minorHAnsi"/>
                <w:color w:val="000000"/>
                <w:sz w:val="18"/>
                <w:szCs w:val="18"/>
                <w:lang w:eastAsia="en-IN"/>
              </w:rPr>
            </w:pPr>
            <w:r w:rsidRPr="00A40217">
              <w:rPr>
                <w:rFonts w:eastAsia="Times New Roman" w:cstheme="minorHAnsi"/>
                <w:color w:val="000000"/>
                <w:sz w:val="18"/>
                <w:szCs w:val="18"/>
                <w:lang w:eastAsia="en-IN"/>
              </w:rPr>
              <w:t>143371</w:t>
            </w:r>
          </w:p>
        </w:tc>
      </w:tr>
    </w:tbl>
    <w:p w14:paraId="528A74F8" w14:textId="77777777" w:rsidR="0093093E" w:rsidRPr="00A40217" w:rsidRDefault="0093093E" w:rsidP="0093093E">
      <w:pPr>
        <w:spacing w:after="0"/>
        <w:rPr>
          <w:rFonts w:cstheme="minorHAnsi"/>
          <w:b/>
          <w:bCs/>
        </w:rPr>
      </w:pPr>
    </w:p>
    <w:p w14:paraId="6764A616" w14:textId="36FC3739" w:rsidR="00871FE3" w:rsidRPr="00A40217" w:rsidRDefault="00871FE3" w:rsidP="0093093E">
      <w:pPr>
        <w:spacing w:after="0"/>
        <w:rPr>
          <w:rFonts w:cstheme="minorHAnsi"/>
          <w:b/>
          <w:bCs/>
        </w:rPr>
      </w:pPr>
      <w:r w:rsidRPr="00A40217">
        <w:rPr>
          <w:rFonts w:cstheme="minorHAnsi"/>
          <w:b/>
          <w:bCs/>
        </w:rPr>
        <w:t xml:space="preserve">Table </w:t>
      </w:r>
      <w:r w:rsidR="009161CE" w:rsidRPr="00A40217">
        <w:rPr>
          <w:rFonts w:cstheme="minorHAnsi"/>
          <w:b/>
          <w:bCs/>
        </w:rPr>
        <w:t>4</w:t>
      </w:r>
      <w:r w:rsidRPr="00A40217">
        <w:rPr>
          <w:rFonts w:cstheme="minorHAnsi"/>
          <w:b/>
          <w:bCs/>
        </w:rPr>
        <w:t xml:space="preserve">: </w:t>
      </w:r>
      <w:r w:rsidR="0093093E" w:rsidRPr="00A40217">
        <w:rPr>
          <w:rFonts w:cstheme="minorHAnsi"/>
          <w:b/>
          <w:bCs/>
        </w:rPr>
        <w:t>G</w:t>
      </w:r>
      <w:r w:rsidR="005B70C6" w:rsidRPr="00A40217">
        <w:rPr>
          <w:rFonts w:cstheme="minorHAnsi"/>
          <w:b/>
          <w:bCs/>
        </w:rPr>
        <w:t>ender-stratified</w:t>
      </w:r>
      <w:r w:rsidR="009161CE" w:rsidRPr="00A40217">
        <w:rPr>
          <w:rFonts w:cstheme="minorHAnsi"/>
          <w:b/>
          <w:bCs/>
        </w:rPr>
        <w:t xml:space="preserve"> total</w:t>
      </w:r>
      <w:r w:rsidR="005B70C6" w:rsidRPr="00A40217">
        <w:rPr>
          <w:rFonts w:cstheme="minorHAnsi"/>
          <w:b/>
          <w:bCs/>
        </w:rPr>
        <w:t xml:space="preserve"> </w:t>
      </w:r>
      <w:r w:rsidR="009161CE" w:rsidRPr="00A40217">
        <w:rPr>
          <w:rFonts w:cstheme="minorHAnsi"/>
          <w:b/>
          <w:bCs/>
        </w:rPr>
        <w:t xml:space="preserve">burden </w:t>
      </w:r>
      <w:r w:rsidR="005B70C6" w:rsidRPr="00A40217">
        <w:rPr>
          <w:rFonts w:cstheme="minorHAnsi"/>
          <w:b/>
          <w:bCs/>
        </w:rPr>
        <w:t>of diseases that are related to physical activity for three age groups</w:t>
      </w:r>
    </w:p>
    <w:tbl>
      <w:tblPr>
        <w:tblW w:w="4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1023"/>
        <w:gridCol w:w="1160"/>
        <w:gridCol w:w="1160"/>
      </w:tblGrid>
      <w:tr w:rsidR="00871FE3" w:rsidRPr="00A40217" w14:paraId="24F455B3" w14:textId="77777777" w:rsidTr="00871FE3">
        <w:trPr>
          <w:trHeight w:val="288"/>
        </w:trPr>
        <w:tc>
          <w:tcPr>
            <w:tcW w:w="1140" w:type="dxa"/>
            <w:shd w:val="clear" w:color="auto" w:fill="auto"/>
            <w:noWrap/>
            <w:vAlign w:val="bottom"/>
            <w:hideMark/>
          </w:tcPr>
          <w:p w14:paraId="2D1E62D0" w14:textId="443C5642" w:rsidR="00871FE3" w:rsidRPr="00A40217" w:rsidRDefault="00871FE3" w:rsidP="00871FE3">
            <w:pPr>
              <w:spacing w:after="0" w:line="240" w:lineRule="auto"/>
              <w:rPr>
                <w:rFonts w:eastAsia="Times New Roman" w:cstheme="minorHAnsi"/>
                <w:b/>
                <w:bCs/>
                <w:color w:val="000000"/>
                <w:lang w:eastAsia="en-IN"/>
              </w:rPr>
            </w:pPr>
            <w:r w:rsidRPr="00A40217">
              <w:rPr>
                <w:rFonts w:eastAsia="Times New Roman" w:cstheme="minorHAnsi"/>
                <w:b/>
                <w:bCs/>
                <w:color w:val="000000"/>
                <w:lang w:eastAsia="en-IN"/>
              </w:rPr>
              <w:t>Cause</w:t>
            </w:r>
          </w:p>
        </w:tc>
        <w:tc>
          <w:tcPr>
            <w:tcW w:w="1000" w:type="dxa"/>
            <w:shd w:val="clear" w:color="auto" w:fill="auto"/>
            <w:noWrap/>
            <w:vAlign w:val="bottom"/>
            <w:hideMark/>
          </w:tcPr>
          <w:p w14:paraId="01C18122" w14:textId="77777777" w:rsidR="00871FE3" w:rsidRPr="00A40217" w:rsidRDefault="00871FE3" w:rsidP="00871FE3">
            <w:pPr>
              <w:spacing w:after="0" w:line="240" w:lineRule="auto"/>
              <w:rPr>
                <w:rFonts w:eastAsia="Times New Roman" w:cstheme="minorHAnsi"/>
                <w:b/>
                <w:bCs/>
                <w:color w:val="000000"/>
                <w:lang w:eastAsia="en-IN"/>
              </w:rPr>
            </w:pPr>
            <w:r w:rsidRPr="00A40217">
              <w:rPr>
                <w:rFonts w:eastAsia="Times New Roman" w:cstheme="minorHAnsi"/>
                <w:b/>
                <w:bCs/>
                <w:color w:val="000000"/>
                <w:lang w:eastAsia="en-IN"/>
              </w:rPr>
              <w:t>Measure</w:t>
            </w:r>
          </w:p>
        </w:tc>
        <w:tc>
          <w:tcPr>
            <w:tcW w:w="1160" w:type="dxa"/>
            <w:shd w:val="clear" w:color="auto" w:fill="auto"/>
            <w:noWrap/>
            <w:vAlign w:val="bottom"/>
            <w:hideMark/>
          </w:tcPr>
          <w:p w14:paraId="7783B856" w14:textId="77777777" w:rsidR="00871FE3" w:rsidRPr="00A40217" w:rsidRDefault="00871FE3" w:rsidP="00871FE3">
            <w:pPr>
              <w:spacing w:after="0" w:line="240" w:lineRule="auto"/>
              <w:jc w:val="right"/>
              <w:rPr>
                <w:rFonts w:eastAsia="Times New Roman" w:cstheme="minorHAnsi"/>
                <w:b/>
                <w:bCs/>
                <w:color w:val="000000"/>
                <w:lang w:eastAsia="en-IN"/>
              </w:rPr>
            </w:pPr>
            <w:r w:rsidRPr="00A40217">
              <w:rPr>
                <w:rFonts w:eastAsia="Times New Roman" w:cstheme="minorHAnsi"/>
                <w:b/>
                <w:bCs/>
                <w:color w:val="000000"/>
                <w:lang w:eastAsia="en-IN"/>
              </w:rPr>
              <w:t>Female</w:t>
            </w:r>
          </w:p>
        </w:tc>
        <w:tc>
          <w:tcPr>
            <w:tcW w:w="1160" w:type="dxa"/>
            <w:shd w:val="clear" w:color="auto" w:fill="auto"/>
            <w:noWrap/>
            <w:vAlign w:val="bottom"/>
            <w:hideMark/>
          </w:tcPr>
          <w:p w14:paraId="1343A3EC" w14:textId="77777777" w:rsidR="00871FE3" w:rsidRPr="00A40217" w:rsidRDefault="00871FE3" w:rsidP="00871FE3">
            <w:pPr>
              <w:spacing w:after="0" w:line="240" w:lineRule="auto"/>
              <w:jc w:val="right"/>
              <w:rPr>
                <w:rFonts w:eastAsia="Times New Roman" w:cstheme="minorHAnsi"/>
                <w:b/>
                <w:bCs/>
                <w:color w:val="000000"/>
                <w:lang w:eastAsia="en-IN"/>
              </w:rPr>
            </w:pPr>
            <w:r w:rsidRPr="00A40217">
              <w:rPr>
                <w:rFonts w:eastAsia="Times New Roman" w:cstheme="minorHAnsi"/>
                <w:b/>
                <w:bCs/>
                <w:color w:val="000000"/>
                <w:lang w:eastAsia="en-IN"/>
              </w:rPr>
              <w:t>Male</w:t>
            </w:r>
          </w:p>
        </w:tc>
      </w:tr>
      <w:tr w:rsidR="00871FE3" w:rsidRPr="00A40217" w14:paraId="2B258228" w14:textId="77777777" w:rsidTr="00871FE3">
        <w:trPr>
          <w:trHeight w:val="288"/>
        </w:trPr>
        <w:tc>
          <w:tcPr>
            <w:tcW w:w="1140" w:type="dxa"/>
            <w:shd w:val="clear" w:color="auto" w:fill="auto"/>
            <w:noWrap/>
            <w:vAlign w:val="bottom"/>
            <w:hideMark/>
          </w:tcPr>
          <w:p w14:paraId="4C887A03" w14:textId="5D5DABDE" w:rsidR="00871FE3" w:rsidRPr="00A40217" w:rsidRDefault="00871FE3" w:rsidP="00871FE3">
            <w:pPr>
              <w:spacing w:after="0" w:line="240" w:lineRule="auto"/>
              <w:rPr>
                <w:rFonts w:eastAsia="Times New Roman" w:cstheme="minorHAnsi"/>
                <w:color w:val="000000"/>
                <w:lang w:eastAsia="en-IN"/>
              </w:rPr>
            </w:pPr>
            <w:proofErr w:type="spellStart"/>
            <w:r w:rsidRPr="00A40217">
              <w:rPr>
                <w:rFonts w:eastAsia="Times New Roman" w:cstheme="minorHAnsi"/>
                <w:color w:val="000000"/>
                <w:lang w:eastAsia="en-IN"/>
              </w:rPr>
              <w:t>Alzhiemers</w:t>
            </w:r>
            <w:proofErr w:type="spellEnd"/>
          </w:p>
        </w:tc>
        <w:tc>
          <w:tcPr>
            <w:tcW w:w="1000" w:type="dxa"/>
            <w:shd w:val="clear" w:color="auto" w:fill="auto"/>
            <w:noWrap/>
            <w:vAlign w:val="bottom"/>
            <w:hideMark/>
          </w:tcPr>
          <w:p w14:paraId="2ABD9198" w14:textId="77777777" w:rsidR="00871FE3" w:rsidRPr="00A40217" w:rsidRDefault="00871FE3" w:rsidP="00871FE3">
            <w:pPr>
              <w:spacing w:after="0" w:line="240" w:lineRule="auto"/>
              <w:rPr>
                <w:rFonts w:eastAsia="Times New Roman" w:cstheme="minorHAnsi"/>
                <w:color w:val="000000"/>
                <w:lang w:eastAsia="en-IN"/>
              </w:rPr>
            </w:pPr>
            <w:r w:rsidRPr="00A40217">
              <w:rPr>
                <w:rFonts w:eastAsia="Times New Roman" w:cstheme="minorHAnsi"/>
                <w:color w:val="000000"/>
                <w:lang w:eastAsia="en-IN"/>
              </w:rPr>
              <w:t>Deaths</w:t>
            </w:r>
          </w:p>
        </w:tc>
        <w:tc>
          <w:tcPr>
            <w:tcW w:w="1160" w:type="dxa"/>
            <w:shd w:val="clear" w:color="auto" w:fill="auto"/>
            <w:noWrap/>
            <w:vAlign w:val="bottom"/>
            <w:hideMark/>
          </w:tcPr>
          <w:p w14:paraId="45873927"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450</w:t>
            </w:r>
          </w:p>
        </w:tc>
        <w:tc>
          <w:tcPr>
            <w:tcW w:w="1160" w:type="dxa"/>
            <w:shd w:val="clear" w:color="auto" w:fill="auto"/>
            <w:noWrap/>
            <w:vAlign w:val="bottom"/>
            <w:hideMark/>
          </w:tcPr>
          <w:p w14:paraId="6FA86B33"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405</w:t>
            </w:r>
          </w:p>
        </w:tc>
      </w:tr>
      <w:tr w:rsidR="00871FE3" w:rsidRPr="00A40217" w14:paraId="7CCC6ED3" w14:textId="77777777" w:rsidTr="00871FE3">
        <w:trPr>
          <w:trHeight w:val="288"/>
        </w:trPr>
        <w:tc>
          <w:tcPr>
            <w:tcW w:w="1140" w:type="dxa"/>
            <w:shd w:val="clear" w:color="auto" w:fill="auto"/>
            <w:noWrap/>
            <w:vAlign w:val="bottom"/>
            <w:hideMark/>
          </w:tcPr>
          <w:p w14:paraId="58FF1178" w14:textId="77777777" w:rsidR="00871FE3" w:rsidRPr="00A40217" w:rsidRDefault="00871FE3" w:rsidP="00871FE3">
            <w:pPr>
              <w:spacing w:after="0" w:line="240" w:lineRule="auto"/>
              <w:rPr>
                <w:rFonts w:eastAsia="Times New Roman" w:cstheme="minorHAnsi"/>
                <w:color w:val="000000"/>
                <w:lang w:eastAsia="en-IN"/>
              </w:rPr>
            </w:pPr>
            <w:r w:rsidRPr="00A40217">
              <w:rPr>
                <w:rFonts w:eastAsia="Times New Roman" w:cstheme="minorHAnsi"/>
                <w:color w:val="000000"/>
                <w:lang w:eastAsia="en-IN"/>
              </w:rPr>
              <w:t>breast</w:t>
            </w:r>
          </w:p>
        </w:tc>
        <w:tc>
          <w:tcPr>
            <w:tcW w:w="1000" w:type="dxa"/>
            <w:shd w:val="clear" w:color="auto" w:fill="auto"/>
            <w:noWrap/>
            <w:vAlign w:val="bottom"/>
            <w:hideMark/>
          </w:tcPr>
          <w:p w14:paraId="4C4E19BC" w14:textId="77777777" w:rsidR="00871FE3" w:rsidRPr="00A40217" w:rsidRDefault="00871FE3" w:rsidP="00871FE3">
            <w:pPr>
              <w:spacing w:after="0" w:line="240" w:lineRule="auto"/>
              <w:rPr>
                <w:rFonts w:eastAsia="Times New Roman" w:cstheme="minorHAnsi"/>
                <w:color w:val="000000"/>
                <w:lang w:eastAsia="en-IN"/>
              </w:rPr>
            </w:pPr>
            <w:r w:rsidRPr="00A40217">
              <w:rPr>
                <w:rFonts w:eastAsia="Times New Roman" w:cstheme="minorHAnsi"/>
                <w:color w:val="000000"/>
                <w:lang w:eastAsia="en-IN"/>
              </w:rPr>
              <w:t>Deaths</w:t>
            </w:r>
          </w:p>
        </w:tc>
        <w:tc>
          <w:tcPr>
            <w:tcW w:w="1160" w:type="dxa"/>
            <w:shd w:val="clear" w:color="auto" w:fill="auto"/>
            <w:noWrap/>
            <w:vAlign w:val="bottom"/>
            <w:hideMark/>
          </w:tcPr>
          <w:p w14:paraId="6B3E25C6"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1429</w:t>
            </w:r>
          </w:p>
        </w:tc>
        <w:tc>
          <w:tcPr>
            <w:tcW w:w="1160" w:type="dxa"/>
            <w:shd w:val="clear" w:color="auto" w:fill="auto"/>
            <w:noWrap/>
            <w:vAlign w:val="bottom"/>
            <w:hideMark/>
          </w:tcPr>
          <w:p w14:paraId="4A3C0D06"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9</w:t>
            </w:r>
          </w:p>
        </w:tc>
      </w:tr>
      <w:tr w:rsidR="00871FE3" w:rsidRPr="00A40217" w14:paraId="2632BFC4" w14:textId="77777777" w:rsidTr="00871FE3">
        <w:trPr>
          <w:trHeight w:val="288"/>
        </w:trPr>
        <w:tc>
          <w:tcPr>
            <w:tcW w:w="1140" w:type="dxa"/>
            <w:shd w:val="clear" w:color="auto" w:fill="auto"/>
            <w:noWrap/>
            <w:vAlign w:val="bottom"/>
            <w:hideMark/>
          </w:tcPr>
          <w:p w14:paraId="49C49814" w14:textId="77777777" w:rsidR="00871FE3" w:rsidRPr="00A40217" w:rsidRDefault="00871FE3" w:rsidP="00871FE3">
            <w:pPr>
              <w:spacing w:after="0" w:line="240" w:lineRule="auto"/>
              <w:rPr>
                <w:rFonts w:eastAsia="Times New Roman" w:cstheme="minorHAnsi"/>
                <w:color w:val="000000"/>
                <w:lang w:eastAsia="en-IN"/>
              </w:rPr>
            </w:pPr>
            <w:r w:rsidRPr="00A40217">
              <w:rPr>
                <w:rFonts w:eastAsia="Times New Roman" w:cstheme="minorHAnsi"/>
                <w:color w:val="000000"/>
                <w:lang w:eastAsia="en-IN"/>
              </w:rPr>
              <w:t>colon</w:t>
            </w:r>
          </w:p>
        </w:tc>
        <w:tc>
          <w:tcPr>
            <w:tcW w:w="1000" w:type="dxa"/>
            <w:shd w:val="clear" w:color="auto" w:fill="auto"/>
            <w:noWrap/>
            <w:vAlign w:val="bottom"/>
            <w:hideMark/>
          </w:tcPr>
          <w:p w14:paraId="160B01D2" w14:textId="77777777" w:rsidR="00871FE3" w:rsidRPr="00A40217" w:rsidRDefault="00871FE3" w:rsidP="00871FE3">
            <w:pPr>
              <w:spacing w:after="0" w:line="240" w:lineRule="auto"/>
              <w:rPr>
                <w:rFonts w:eastAsia="Times New Roman" w:cstheme="minorHAnsi"/>
                <w:color w:val="000000"/>
                <w:lang w:eastAsia="en-IN"/>
              </w:rPr>
            </w:pPr>
            <w:r w:rsidRPr="00A40217">
              <w:rPr>
                <w:rFonts w:eastAsia="Times New Roman" w:cstheme="minorHAnsi"/>
                <w:color w:val="000000"/>
                <w:lang w:eastAsia="en-IN"/>
              </w:rPr>
              <w:t>Deaths</w:t>
            </w:r>
          </w:p>
        </w:tc>
        <w:tc>
          <w:tcPr>
            <w:tcW w:w="1160" w:type="dxa"/>
            <w:shd w:val="clear" w:color="auto" w:fill="auto"/>
            <w:noWrap/>
            <w:vAlign w:val="bottom"/>
            <w:hideMark/>
          </w:tcPr>
          <w:p w14:paraId="3F51A4DD"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327</w:t>
            </w:r>
          </w:p>
        </w:tc>
        <w:tc>
          <w:tcPr>
            <w:tcW w:w="1160" w:type="dxa"/>
            <w:shd w:val="clear" w:color="auto" w:fill="auto"/>
            <w:noWrap/>
            <w:vAlign w:val="bottom"/>
            <w:hideMark/>
          </w:tcPr>
          <w:p w14:paraId="3A2E8861"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371</w:t>
            </w:r>
          </w:p>
        </w:tc>
      </w:tr>
      <w:tr w:rsidR="00871FE3" w:rsidRPr="00A40217" w14:paraId="6ECB2FA5" w14:textId="77777777" w:rsidTr="00871FE3">
        <w:trPr>
          <w:trHeight w:val="288"/>
        </w:trPr>
        <w:tc>
          <w:tcPr>
            <w:tcW w:w="1140" w:type="dxa"/>
            <w:shd w:val="clear" w:color="auto" w:fill="auto"/>
            <w:noWrap/>
            <w:vAlign w:val="bottom"/>
            <w:hideMark/>
          </w:tcPr>
          <w:p w14:paraId="03F38378" w14:textId="77777777" w:rsidR="00871FE3" w:rsidRPr="00A40217" w:rsidRDefault="00871FE3" w:rsidP="00871FE3">
            <w:pPr>
              <w:spacing w:after="0" w:line="240" w:lineRule="auto"/>
              <w:rPr>
                <w:rFonts w:eastAsia="Times New Roman" w:cstheme="minorHAnsi"/>
                <w:color w:val="000000"/>
                <w:lang w:eastAsia="en-IN"/>
              </w:rPr>
            </w:pPr>
            <w:proofErr w:type="spellStart"/>
            <w:r w:rsidRPr="00A40217">
              <w:rPr>
                <w:rFonts w:eastAsia="Times New Roman" w:cstheme="minorHAnsi"/>
                <w:color w:val="000000"/>
                <w:lang w:eastAsia="en-IN"/>
              </w:rPr>
              <w:t>cvd_ihd</w:t>
            </w:r>
            <w:proofErr w:type="spellEnd"/>
          </w:p>
        </w:tc>
        <w:tc>
          <w:tcPr>
            <w:tcW w:w="1000" w:type="dxa"/>
            <w:shd w:val="clear" w:color="auto" w:fill="auto"/>
            <w:noWrap/>
            <w:vAlign w:val="bottom"/>
            <w:hideMark/>
          </w:tcPr>
          <w:p w14:paraId="30074E17" w14:textId="77777777" w:rsidR="00871FE3" w:rsidRPr="00A40217" w:rsidRDefault="00871FE3" w:rsidP="00871FE3">
            <w:pPr>
              <w:spacing w:after="0" w:line="240" w:lineRule="auto"/>
              <w:rPr>
                <w:rFonts w:eastAsia="Times New Roman" w:cstheme="minorHAnsi"/>
                <w:color w:val="000000"/>
                <w:lang w:eastAsia="en-IN"/>
              </w:rPr>
            </w:pPr>
            <w:r w:rsidRPr="00A40217">
              <w:rPr>
                <w:rFonts w:eastAsia="Times New Roman" w:cstheme="minorHAnsi"/>
                <w:color w:val="000000"/>
                <w:lang w:eastAsia="en-IN"/>
              </w:rPr>
              <w:t>Deaths</w:t>
            </w:r>
          </w:p>
        </w:tc>
        <w:tc>
          <w:tcPr>
            <w:tcW w:w="1160" w:type="dxa"/>
            <w:shd w:val="clear" w:color="auto" w:fill="auto"/>
            <w:noWrap/>
            <w:vAlign w:val="bottom"/>
            <w:hideMark/>
          </w:tcPr>
          <w:p w14:paraId="234B8460"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7299</w:t>
            </w:r>
          </w:p>
        </w:tc>
        <w:tc>
          <w:tcPr>
            <w:tcW w:w="1160" w:type="dxa"/>
            <w:shd w:val="clear" w:color="auto" w:fill="auto"/>
            <w:noWrap/>
            <w:vAlign w:val="bottom"/>
            <w:hideMark/>
          </w:tcPr>
          <w:p w14:paraId="23221D4F"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9998</w:t>
            </w:r>
          </w:p>
        </w:tc>
      </w:tr>
      <w:tr w:rsidR="00871FE3" w:rsidRPr="00A40217" w14:paraId="056BB299" w14:textId="77777777" w:rsidTr="00871FE3">
        <w:trPr>
          <w:trHeight w:val="288"/>
        </w:trPr>
        <w:tc>
          <w:tcPr>
            <w:tcW w:w="1140" w:type="dxa"/>
            <w:shd w:val="clear" w:color="auto" w:fill="auto"/>
            <w:noWrap/>
            <w:vAlign w:val="bottom"/>
            <w:hideMark/>
          </w:tcPr>
          <w:p w14:paraId="03EFC5E1" w14:textId="77777777" w:rsidR="00871FE3" w:rsidRPr="00A40217" w:rsidRDefault="00871FE3" w:rsidP="00871FE3">
            <w:pPr>
              <w:spacing w:after="0" w:line="240" w:lineRule="auto"/>
              <w:rPr>
                <w:rFonts w:eastAsia="Times New Roman" w:cstheme="minorHAnsi"/>
                <w:color w:val="000000"/>
                <w:lang w:eastAsia="en-IN"/>
              </w:rPr>
            </w:pPr>
            <w:proofErr w:type="spellStart"/>
            <w:r w:rsidRPr="00A40217">
              <w:rPr>
                <w:rFonts w:eastAsia="Times New Roman" w:cstheme="minorHAnsi"/>
                <w:color w:val="000000"/>
                <w:lang w:eastAsia="en-IN"/>
              </w:rPr>
              <w:t>cvd_stroke</w:t>
            </w:r>
            <w:proofErr w:type="spellEnd"/>
          </w:p>
        </w:tc>
        <w:tc>
          <w:tcPr>
            <w:tcW w:w="1000" w:type="dxa"/>
            <w:shd w:val="clear" w:color="auto" w:fill="auto"/>
            <w:noWrap/>
            <w:vAlign w:val="bottom"/>
            <w:hideMark/>
          </w:tcPr>
          <w:p w14:paraId="208702CF" w14:textId="77777777" w:rsidR="00871FE3" w:rsidRPr="00A40217" w:rsidRDefault="00871FE3" w:rsidP="00871FE3">
            <w:pPr>
              <w:spacing w:after="0" w:line="240" w:lineRule="auto"/>
              <w:rPr>
                <w:rFonts w:eastAsia="Times New Roman" w:cstheme="minorHAnsi"/>
                <w:color w:val="000000"/>
                <w:lang w:eastAsia="en-IN"/>
              </w:rPr>
            </w:pPr>
            <w:r w:rsidRPr="00A40217">
              <w:rPr>
                <w:rFonts w:eastAsia="Times New Roman" w:cstheme="minorHAnsi"/>
                <w:color w:val="000000"/>
                <w:lang w:eastAsia="en-IN"/>
              </w:rPr>
              <w:t>Deaths</w:t>
            </w:r>
          </w:p>
        </w:tc>
        <w:tc>
          <w:tcPr>
            <w:tcW w:w="1160" w:type="dxa"/>
            <w:shd w:val="clear" w:color="auto" w:fill="auto"/>
            <w:noWrap/>
            <w:vAlign w:val="bottom"/>
            <w:hideMark/>
          </w:tcPr>
          <w:p w14:paraId="76839045"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982</w:t>
            </w:r>
          </w:p>
        </w:tc>
        <w:tc>
          <w:tcPr>
            <w:tcW w:w="1160" w:type="dxa"/>
            <w:shd w:val="clear" w:color="auto" w:fill="auto"/>
            <w:noWrap/>
            <w:vAlign w:val="bottom"/>
            <w:hideMark/>
          </w:tcPr>
          <w:p w14:paraId="30429570"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944</w:t>
            </w:r>
          </w:p>
        </w:tc>
      </w:tr>
      <w:tr w:rsidR="00871FE3" w:rsidRPr="00A40217" w14:paraId="48320C21" w14:textId="77777777" w:rsidTr="00871FE3">
        <w:trPr>
          <w:trHeight w:val="288"/>
        </w:trPr>
        <w:tc>
          <w:tcPr>
            <w:tcW w:w="1140" w:type="dxa"/>
            <w:shd w:val="clear" w:color="auto" w:fill="auto"/>
            <w:noWrap/>
            <w:vAlign w:val="bottom"/>
            <w:hideMark/>
          </w:tcPr>
          <w:p w14:paraId="0FAF40F2" w14:textId="77777777" w:rsidR="00871FE3" w:rsidRPr="00A40217" w:rsidRDefault="00871FE3" w:rsidP="00871FE3">
            <w:pPr>
              <w:spacing w:after="0" w:line="240" w:lineRule="auto"/>
              <w:rPr>
                <w:rFonts w:eastAsia="Times New Roman" w:cstheme="minorHAnsi"/>
                <w:color w:val="000000"/>
                <w:lang w:eastAsia="en-IN"/>
              </w:rPr>
            </w:pPr>
            <w:r w:rsidRPr="00A40217">
              <w:rPr>
                <w:rFonts w:eastAsia="Times New Roman" w:cstheme="minorHAnsi"/>
                <w:color w:val="000000"/>
                <w:lang w:eastAsia="en-IN"/>
              </w:rPr>
              <w:t>depress</w:t>
            </w:r>
          </w:p>
        </w:tc>
        <w:tc>
          <w:tcPr>
            <w:tcW w:w="1000" w:type="dxa"/>
            <w:shd w:val="clear" w:color="auto" w:fill="auto"/>
            <w:noWrap/>
            <w:vAlign w:val="bottom"/>
            <w:hideMark/>
          </w:tcPr>
          <w:p w14:paraId="515B4194" w14:textId="77777777" w:rsidR="00871FE3" w:rsidRPr="00A40217" w:rsidRDefault="00871FE3" w:rsidP="00871FE3">
            <w:pPr>
              <w:spacing w:after="0" w:line="240" w:lineRule="auto"/>
              <w:rPr>
                <w:rFonts w:eastAsia="Times New Roman" w:cstheme="minorHAnsi"/>
                <w:color w:val="000000"/>
                <w:lang w:eastAsia="en-IN"/>
              </w:rPr>
            </w:pPr>
            <w:r w:rsidRPr="00A40217">
              <w:rPr>
                <w:rFonts w:eastAsia="Times New Roman" w:cstheme="minorHAnsi"/>
                <w:color w:val="000000"/>
                <w:lang w:eastAsia="en-IN"/>
              </w:rPr>
              <w:t>Deaths</w:t>
            </w:r>
          </w:p>
        </w:tc>
        <w:tc>
          <w:tcPr>
            <w:tcW w:w="1160" w:type="dxa"/>
            <w:shd w:val="clear" w:color="auto" w:fill="auto"/>
            <w:noWrap/>
            <w:vAlign w:val="bottom"/>
            <w:hideMark/>
          </w:tcPr>
          <w:p w14:paraId="34EFB76A"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0</w:t>
            </w:r>
          </w:p>
        </w:tc>
        <w:tc>
          <w:tcPr>
            <w:tcW w:w="1160" w:type="dxa"/>
            <w:shd w:val="clear" w:color="auto" w:fill="auto"/>
            <w:noWrap/>
            <w:vAlign w:val="bottom"/>
            <w:hideMark/>
          </w:tcPr>
          <w:p w14:paraId="6B5C1F84"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0</w:t>
            </w:r>
          </w:p>
        </w:tc>
      </w:tr>
      <w:tr w:rsidR="00871FE3" w:rsidRPr="00A40217" w14:paraId="5E430ED1" w14:textId="77777777" w:rsidTr="00871FE3">
        <w:trPr>
          <w:trHeight w:val="288"/>
        </w:trPr>
        <w:tc>
          <w:tcPr>
            <w:tcW w:w="1140" w:type="dxa"/>
            <w:shd w:val="clear" w:color="auto" w:fill="auto"/>
            <w:noWrap/>
            <w:vAlign w:val="bottom"/>
            <w:hideMark/>
          </w:tcPr>
          <w:p w14:paraId="43082D86" w14:textId="77777777" w:rsidR="00871FE3" w:rsidRPr="00A40217" w:rsidRDefault="00871FE3" w:rsidP="00871FE3">
            <w:pPr>
              <w:spacing w:after="0" w:line="240" w:lineRule="auto"/>
              <w:rPr>
                <w:rFonts w:eastAsia="Times New Roman" w:cstheme="minorHAnsi"/>
                <w:color w:val="000000"/>
                <w:lang w:eastAsia="en-IN"/>
              </w:rPr>
            </w:pPr>
            <w:proofErr w:type="spellStart"/>
            <w:r w:rsidRPr="00A40217">
              <w:rPr>
                <w:rFonts w:eastAsia="Times New Roman" w:cstheme="minorHAnsi"/>
                <w:color w:val="000000"/>
                <w:lang w:eastAsia="en-IN"/>
              </w:rPr>
              <w:t>resp_copd</w:t>
            </w:r>
            <w:proofErr w:type="spellEnd"/>
          </w:p>
        </w:tc>
        <w:tc>
          <w:tcPr>
            <w:tcW w:w="1000" w:type="dxa"/>
            <w:shd w:val="clear" w:color="auto" w:fill="auto"/>
            <w:noWrap/>
            <w:vAlign w:val="bottom"/>
            <w:hideMark/>
          </w:tcPr>
          <w:p w14:paraId="2BC737DC" w14:textId="77777777" w:rsidR="00871FE3" w:rsidRPr="00A40217" w:rsidRDefault="00871FE3" w:rsidP="00871FE3">
            <w:pPr>
              <w:spacing w:after="0" w:line="240" w:lineRule="auto"/>
              <w:rPr>
                <w:rFonts w:eastAsia="Times New Roman" w:cstheme="minorHAnsi"/>
                <w:color w:val="000000"/>
                <w:lang w:eastAsia="en-IN"/>
              </w:rPr>
            </w:pPr>
            <w:r w:rsidRPr="00A40217">
              <w:rPr>
                <w:rFonts w:eastAsia="Times New Roman" w:cstheme="minorHAnsi"/>
                <w:color w:val="000000"/>
                <w:lang w:eastAsia="en-IN"/>
              </w:rPr>
              <w:t>Deaths</w:t>
            </w:r>
          </w:p>
        </w:tc>
        <w:tc>
          <w:tcPr>
            <w:tcW w:w="1160" w:type="dxa"/>
            <w:shd w:val="clear" w:color="auto" w:fill="auto"/>
            <w:noWrap/>
            <w:vAlign w:val="bottom"/>
            <w:hideMark/>
          </w:tcPr>
          <w:p w14:paraId="14B6C605"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2702</w:t>
            </w:r>
          </w:p>
        </w:tc>
        <w:tc>
          <w:tcPr>
            <w:tcW w:w="1160" w:type="dxa"/>
            <w:shd w:val="clear" w:color="auto" w:fill="auto"/>
            <w:noWrap/>
            <w:vAlign w:val="bottom"/>
            <w:hideMark/>
          </w:tcPr>
          <w:p w14:paraId="42D77227"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3594</w:t>
            </w:r>
          </w:p>
        </w:tc>
      </w:tr>
      <w:tr w:rsidR="00871FE3" w:rsidRPr="00A40217" w14:paraId="2F1C7251" w14:textId="77777777" w:rsidTr="00871FE3">
        <w:trPr>
          <w:trHeight w:val="288"/>
        </w:trPr>
        <w:tc>
          <w:tcPr>
            <w:tcW w:w="1140" w:type="dxa"/>
            <w:shd w:val="clear" w:color="auto" w:fill="auto"/>
            <w:noWrap/>
            <w:vAlign w:val="bottom"/>
            <w:hideMark/>
          </w:tcPr>
          <w:p w14:paraId="4D9C6129" w14:textId="77777777" w:rsidR="00871FE3" w:rsidRPr="00A40217" w:rsidRDefault="00871FE3" w:rsidP="00871FE3">
            <w:pPr>
              <w:spacing w:after="0" w:line="240" w:lineRule="auto"/>
              <w:rPr>
                <w:rFonts w:eastAsia="Times New Roman" w:cstheme="minorHAnsi"/>
                <w:color w:val="000000"/>
                <w:lang w:eastAsia="en-IN"/>
              </w:rPr>
            </w:pPr>
            <w:r w:rsidRPr="00A40217">
              <w:rPr>
                <w:rFonts w:eastAsia="Times New Roman" w:cstheme="minorHAnsi"/>
                <w:color w:val="000000"/>
                <w:lang w:eastAsia="en-IN"/>
              </w:rPr>
              <w:t>t2d</w:t>
            </w:r>
          </w:p>
        </w:tc>
        <w:tc>
          <w:tcPr>
            <w:tcW w:w="1000" w:type="dxa"/>
            <w:shd w:val="clear" w:color="auto" w:fill="auto"/>
            <w:noWrap/>
            <w:vAlign w:val="bottom"/>
            <w:hideMark/>
          </w:tcPr>
          <w:p w14:paraId="034837B1" w14:textId="77777777" w:rsidR="00871FE3" w:rsidRPr="00A40217" w:rsidRDefault="00871FE3" w:rsidP="00871FE3">
            <w:pPr>
              <w:spacing w:after="0" w:line="240" w:lineRule="auto"/>
              <w:rPr>
                <w:rFonts w:eastAsia="Times New Roman" w:cstheme="minorHAnsi"/>
                <w:color w:val="000000"/>
                <w:lang w:eastAsia="en-IN"/>
              </w:rPr>
            </w:pPr>
            <w:r w:rsidRPr="00A40217">
              <w:rPr>
                <w:rFonts w:eastAsia="Times New Roman" w:cstheme="minorHAnsi"/>
                <w:color w:val="000000"/>
                <w:lang w:eastAsia="en-IN"/>
              </w:rPr>
              <w:t>Deaths</w:t>
            </w:r>
          </w:p>
        </w:tc>
        <w:tc>
          <w:tcPr>
            <w:tcW w:w="1160" w:type="dxa"/>
            <w:shd w:val="clear" w:color="auto" w:fill="auto"/>
            <w:noWrap/>
            <w:vAlign w:val="bottom"/>
            <w:hideMark/>
          </w:tcPr>
          <w:p w14:paraId="048D33F5"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1578</w:t>
            </w:r>
          </w:p>
        </w:tc>
        <w:tc>
          <w:tcPr>
            <w:tcW w:w="1160" w:type="dxa"/>
            <w:shd w:val="clear" w:color="auto" w:fill="auto"/>
            <w:noWrap/>
            <w:vAlign w:val="bottom"/>
            <w:hideMark/>
          </w:tcPr>
          <w:p w14:paraId="380EE964"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1094</w:t>
            </w:r>
          </w:p>
        </w:tc>
      </w:tr>
      <w:tr w:rsidR="00871FE3" w:rsidRPr="00A40217" w14:paraId="4B02099E" w14:textId="77777777" w:rsidTr="00871FE3">
        <w:trPr>
          <w:trHeight w:val="288"/>
        </w:trPr>
        <w:tc>
          <w:tcPr>
            <w:tcW w:w="1140" w:type="dxa"/>
            <w:shd w:val="clear" w:color="auto" w:fill="D0CECE" w:themeFill="background2" w:themeFillShade="E6"/>
            <w:noWrap/>
            <w:vAlign w:val="bottom"/>
            <w:hideMark/>
          </w:tcPr>
          <w:p w14:paraId="715A658A" w14:textId="77777777" w:rsidR="00871FE3" w:rsidRPr="00A40217" w:rsidRDefault="00871FE3" w:rsidP="00871FE3">
            <w:pPr>
              <w:spacing w:after="0" w:line="240" w:lineRule="auto"/>
              <w:rPr>
                <w:rFonts w:eastAsia="Times New Roman" w:cstheme="minorHAnsi"/>
                <w:color w:val="000000"/>
                <w:lang w:eastAsia="en-IN"/>
              </w:rPr>
            </w:pPr>
            <w:r w:rsidRPr="00A40217">
              <w:rPr>
                <w:rFonts w:eastAsia="Times New Roman" w:cstheme="minorHAnsi"/>
                <w:color w:val="000000"/>
                <w:lang w:eastAsia="en-IN"/>
              </w:rPr>
              <w:t>Total</w:t>
            </w:r>
          </w:p>
        </w:tc>
        <w:tc>
          <w:tcPr>
            <w:tcW w:w="1000" w:type="dxa"/>
            <w:shd w:val="clear" w:color="auto" w:fill="D0CECE" w:themeFill="background2" w:themeFillShade="E6"/>
            <w:noWrap/>
            <w:vAlign w:val="bottom"/>
            <w:hideMark/>
          </w:tcPr>
          <w:p w14:paraId="33F6505A" w14:textId="77777777" w:rsidR="00871FE3" w:rsidRPr="00A40217" w:rsidRDefault="00871FE3" w:rsidP="00871FE3">
            <w:pPr>
              <w:spacing w:after="0" w:line="240" w:lineRule="auto"/>
              <w:rPr>
                <w:rFonts w:eastAsia="Times New Roman" w:cstheme="minorHAnsi"/>
                <w:color w:val="000000"/>
                <w:lang w:eastAsia="en-IN"/>
              </w:rPr>
            </w:pPr>
            <w:r w:rsidRPr="00A40217">
              <w:rPr>
                <w:rFonts w:eastAsia="Times New Roman" w:cstheme="minorHAnsi"/>
                <w:color w:val="000000"/>
                <w:lang w:eastAsia="en-IN"/>
              </w:rPr>
              <w:t>Deaths</w:t>
            </w:r>
          </w:p>
        </w:tc>
        <w:tc>
          <w:tcPr>
            <w:tcW w:w="1160" w:type="dxa"/>
            <w:shd w:val="clear" w:color="auto" w:fill="D0CECE" w:themeFill="background2" w:themeFillShade="E6"/>
            <w:noWrap/>
            <w:vAlign w:val="bottom"/>
            <w:hideMark/>
          </w:tcPr>
          <w:p w14:paraId="0B7551DC"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14767</w:t>
            </w:r>
          </w:p>
        </w:tc>
        <w:tc>
          <w:tcPr>
            <w:tcW w:w="1160" w:type="dxa"/>
            <w:shd w:val="clear" w:color="auto" w:fill="D0CECE" w:themeFill="background2" w:themeFillShade="E6"/>
            <w:noWrap/>
            <w:vAlign w:val="bottom"/>
            <w:hideMark/>
          </w:tcPr>
          <w:p w14:paraId="2ED20B23"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16413</w:t>
            </w:r>
          </w:p>
        </w:tc>
      </w:tr>
      <w:tr w:rsidR="00871FE3" w:rsidRPr="00A40217" w14:paraId="4DD52E9C" w14:textId="77777777" w:rsidTr="00871FE3">
        <w:trPr>
          <w:trHeight w:val="288"/>
        </w:trPr>
        <w:tc>
          <w:tcPr>
            <w:tcW w:w="1140" w:type="dxa"/>
            <w:shd w:val="clear" w:color="auto" w:fill="auto"/>
            <w:noWrap/>
            <w:vAlign w:val="bottom"/>
            <w:hideMark/>
          </w:tcPr>
          <w:p w14:paraId="2837CC50" w14:textId="77777777" w:rsidR="00871FE3" w:rsidRPr="00A40217" w:rsidRDefault="00871FE3" w:rsidP="00871FE3">
            <w:pPr>
              <w:spacing w:after="0" w:line="240" w:lineRule="auto"/>
              <w:rPr>
                <w:rFonts w:eastAsia="Times New Roman" w:cstheme="minorHAnsi"/>
                <w:color w:val="000000"/>
                <w:lang w:eastAsia="en-IN"/>
              </w:rPr>
            </w:pPr>
            <w:proofErr w:type="spellStart"/>
            <w:r w:rsidRPr="00A40217">
              <w:rPr>
                <w:rFonts w:eastAsia="Times New Roman" w:cstheme="minorHAnsi"/>
                <w:color w:val="000000"/>
                <w:lang w:eastAsia="en-IN"/>
              </w:rPr>
              <w:t>alzh</w:t>
            </w:r>
            <w:proofErr w:type="spellEnd"/>
          </w:p>
        </w:tc>
        <w:tc>
          <w:tcPr>
            <w:tcW w:w="1000" w:type="dxa"/>
            <w:shd w:val="clear" w:color="auto" w:fill="auto"/>
            <w:noWrap/>
            <w:vAlign w:val="bottom"/>
            <w:hideMark/>
          </w:tcPr>
          <w:p w14:paraId="7FA5F1B3" w14:textId="77777777" w:rsidR="00871FE3" w:rsidRPr="00A40217" w:rsidRDefault="00871FE3" w:rsidP="00871FE3">
            <w:pPr>
              <w:spacing w:after="0" w:line="240" w:lineRule="auto"/>
              <w:rPr>
                <w:rFonts w:eastAsia="Times New Roman" w:cstheme="minorHAnsi"/>
                <w:color w:val="000000"/>
                <w:lang w:eastAsia="en-IN"/>
              </w:rPr>
            </w:pPr>
            <w:r w:rsidRPr="00A40217">
              <w:rPr>
                <w:rFonts w:eastAsia="Times New Roman" w:cstheme="minorHAnsi"/>
                <w:color w:val="000000"/>
                <w:lang w:eastAsia="en-IN"/>
              </w:rPr>
              <w:t>DALYs</w:t>
            </w:r>
          </w:p>
        </w:tc>
        <w:tc>
          <w:tcPr>
            <w:tcW w:w="1160" w:type="dxa"/>
            <w:shd w:val="clear" w:color="auto" w:fill="auto"/>
            <w:noWrap/>
            <w:vAlign w:val="bottom"/>
            <w:hideMark/>
          </w:tcPr>
          <w:p w14:paraId="1C365BA9"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8154</w:t>
            </w:r>
          </w:p>
        </w:tc>
        <w:tc>
          <w:tcPr>
            <w:tcW w:w="1160" w:type="dxa"/>
            <w:shd w:val="clear" w:color="auto" w:fill="auto"/>
            <w:noWrap/>
            <w:vAlign w:val="bottom"/>
            <w:hideMark/>
          </w:tcPr>
          <w:p w14:paraId="6C673124"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7351</w:t>
            </w:r>
          </w:p>
        </w:tc>
      </w:tr>
      <w:tr w:rsidR="00871FE3" w:rsidRPr="00A40217" w14:paraId="234741FC" w14:textId="77777777" w:rsidTr="00871FE3">
        <w:trPr>
          <w:trHeight w:val="288"/>
        </w:trPr>
        <w:tc>
          <w:tcPr>
            <w:tcW w:w="1140" w:type="dxa"/>
            <w:shd w:val="clear" w:color="auto" w:fill="auto"/>
            <w:noWrap/>
            <w:vAlign w:val="bottom"/>
            <w:hideMark/>
          </w:tcPr>
          <w:p w14:paraId="0669EC52" w14:textId="77777777" w:rsidR="00871FE3" w:rsidRPr="00A40217" w:rsidRDefault="00871FE3" w:rsidP="00871FE3">
            <w:pPr>
              <w:spacing w:after="0" w:line="240" w:lineRule="auto"/>
              <w:rPr>
                <w:rFonts w:eastAsia="Times New Roman" w:cstheme="minorHAnsi"/>
                <w:color w:val="000000"/>
                <w:lang w:eastAsia="en-IN"/>
              </w:rPr>
            </w:pPr>
            <w:r w:rsidRPr="00A40217">
              <w:rPr>
                <w:rFonts w:eastAsia="Times New Roman" w:cstheme="minorHAnsi"/>
                <w:color w:val="000000"/>
                <w:lang w:eastAsia="en-IN"/>
              </w:rPr>
              <w:t>breast</w:t>
            </w:r>
          </w:p>
        </w:tc>
        <w:tc>
          <w:tcPr>
            <w:tcW w:w="1000" w:type="dxa"/>
            <w:shd w:val="clear" w:color="auto" w:fill="auto"/>
            <w:noWrap/>
            <w:vAlign w:val="bottom"/>
            <w:hideMark/>
          </w:tcPr>
          <w:p w14:paraId="289BAA81" w14:textId="77777777" w:rsidR="00871FE3" w:rsidRPr="00A40217" w:rsidRDefault="00871FE3" w:rsidP="00871FE3">
            <w:pPr>
              <w:spacing w:after="0" w:line="240" w:lineRule="auto"/>
              <w:rPr>
                <w:rFonts w:eastAsia="Times New Roman" w:cstheme="minorHAnsi"/>
                <w:color w:val="000000"/>
                <w:lang w:eastAsia="en-IN"/>
              </w:rPr>
            </w:pPr>
            <w:r w:rsidRPr="00A40217">
              <w:rPr>
                <w:rFonts w:eastAsia="Times New Roman" w:cstheme="minorHAnsi"/>
                <w:color w:val="000000"/>
                <w:lang w:eastAsia="en-IN"/>
              </w:rPr>
              <w:t>DALYs</w:t>
            </w:r>
          </w:p>
        </w:tc>
        <w:tc>
          <w:tcPr>
            <w:tcW w:w="1160" w:type="dxa"/>
            <w:shd w:val="clear" w:color="auto" w:fill="auto"/>
            <w:noWrap/>
            <w:vAlign w:val="bottom"/>
            <w:hideMark/>
          </w:tcPr>
          <w:p w14:paraId="76E8F0D9"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47701</w:t>
            </w:r>
          </w:p>
        </w:tc>
        <w:tc>
          <w:tcPr>
            <w:tcW w:w="1160" w:type="dxa"/>
            <w:shd w:val="clear" w:color="auto" w:fill="auto"/>
            <w:noWrap/>
            <w:vAlign w:val="bottom"/>
            <w:hideMark/>
          </w:tcPr>
          <w:p w14:paraId="616CBACD"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223</w:t>
            </w:r>
          </w:p>
        </w:tc>
      </w:tr>
      <w:tr w:rsidR="00871FE3" w:rsidRPr="00A40217" w14:paraId="2FB93BE9" w14:textId="77777777" w:rsidTr="00871FE3">
        <w:trPr>
          <w:trHeight w:val="288"/>
        </w:trPr>
        <w:tc>
          <w:tcPr>
            <w:tcW w:w="1140" w:type="dxa"/>
            <w:shd w:val="clear" w:color="auto" w:fill="auto"/>
            <w:noWrap/>
            <w:vAlign w:val="bottom"/>
            <w:hideMark/>
          </w:tcPr>
          <w:p w14:paraId="7FBB2F85" w14:textId="77777777" w:rsidR="00871FE3" w:rsidRPr="00A40217" w:rsidRDefault="00871FE3" w:rsidP="00871FE3">
            <w:pPr>
              <w:spacing w:after="0" w:line="240" w:lineRule="auto"/>
              <w:rPr>
                <w:rFonts w:eastAsia="Times New Roman" w:cstheme="minorHAnsi"/>
                <w:color w:val="000000"/>
                <w:lang w:eastAsia="en-IN"/>
              </w:rPr>
            </w:pPr>
            <w:r w:rsidRPr="00A40217">
              <w:rPr>
                <w:rFonts w:eastAsia="Times New Roman" w:cstheme="minorHAnsi"/>
                <w:color w:val="000000"/>
                <w:lang w:eastAsia="en-IN"/>
              </w:rPr>
              <w:t>colon</w:t>
            </w:r>
          </w:p>
        </w:tc>
        <w:tc>
          <w:tcPr>
            <w:tcW w:w="1000" w:type="dxa"/>
            <w:shd w:val="clear" w:color="auto" w:fill="auto"/>
            <w:noWrap/>
            <w:vAlign w:val="bottom"/>
            <w:hideMark/>
          </w:tcPr>
          <w:p w14:paraId="4B1AEC63" w14:textId="77777777" w:rsidR="00871FE3" w:rsidRPr="00A40217" w:rsidRDefault="00871FE3" w:rsidP="00871FE3">
            <w:pPr>
              <w:spacing w:after="0" w:line="240" w:lineRule="auto"/>
              <w:rPr>
                <w:rFonts w:eastAsia="Times New Roman" w:cstheme="minorHAnsi"/>
                <w:color w:val="000000"/>
                <w:lang w:eastAsia="en-IN"/>
              </w:rPr>
            </w:pPr>
            <w:r w:rsidRPr="00A40217">
              <w:rPr>
                <w:rFonts w:eastAsia="Times New Roman" w:cstheme="minorHAnsi"/>
                <w:color w:val="000000"/>
                <w:lang w:eastAsia="en-IN"/>
              </w:rPr>
              <w:t>DALYs</w:t>
            </w:r>
          </w:p>
        </w:tc>
        <w:tc>
          <w:tcPr>
            <w:tcW w:w="1160" w:type="dxa"/>
            <w:shd w:val="clear" w:color="auto" w:fill="auto"/>
            <w:noWrap/>
            <w:vAlign w:val="bottom"/>
            <w:hideMark/>
          </w:tcPr>
          <w:p w14:paraId="62EB8188"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8386</w:t>
            </w:r>
          </w:p>
        </w:tc>
        <w:tc>
          <w:tcPr>
            <w:tcW w:w="1160" w:type="dxa"/>
            <w:shd w:val="clear" w:color="auto" w:fill="auto"/>
            <w:noWrap/>
            <w:vAlign w:val="bottom"/>
            <w:hideMark/>
          </w:tcPr>
          <w:p w14:paraId="7FD52A00"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10302</w:t>
            </w:r>
          </w:p>
        </w:tc>
      </w:tr>
      <w:tr w:rsidR="00871FE3" w:rsidRPr="00A40217" w14:paraId="6D742627" w14:textId="77777777" w:rsidTr="00871FE3">
        <w:trPr>
          <w:trHeight w:val="288"/>
        </w:trPr>
        <w:tc>
          <w:tcPr>
            <w:tcW w:w="1140" w:type="dxa"/>
            <w:shd w:val="clear" w:color="auto" w:fill="auto"/>
            <w:noWrap/>
            <w:vAlign w:val="bottom"/>
            <w:hideMark/>
          </w:tcPr>
          <w:p w14:paraId="703C2180" w14:textId="77777777" w:rsidR="00871FE3" w:rsidRPr="00A40217" w:rsidRDefault="00871FE3" w:rsidP="00871FE3">
            <w:pPr>
              <w:spacing w:after="0" w:line="240" w:lineRule="auto"/>
              <w:rPr>
                <w:rFonts w:eastAsia="Times New Roman" w:cstheme="minorHAnsi"/>
                <w:color w:val="000000"/>
                <w:lang w:eastAsia="en-IN"/>
              </w:rPr>
            </w:pPr>
            <w:proofErr w:type="spellStart"/>
            <w:r w:rsidRPr="00A40217">
              <w:rPr>
                <w:rFonts w:eastAsia="Times New Roman" w:cstheme="minorHAnsi"/>
                <w:color w:val="000000"/>
                <w:lang w:eastAsia="en-IN"/>
              </w:rPr>
              <w:t>cvd_ihd</w:t>
            </w:r>
            <w:proofErr w:type="spellEnd"/>
          </w:p>
        </w:tc>
        <w:tc>
          <w:tcPr>
            <w:tcW w:w="1000" w:type="dxa"/>
            <w:shd w:val="clear" w:color="auto" w:fill="auto"/>
            <w:noWrap/>
            <w:vAlign w:val="bottom"/>
            <w:hideMark/>
          </w:tcPr>
          <w:p w14:paraId="4DDE0CC2" w14:textId="77777777" w:rsidR="00871FE3" w:rsidRPr="00A40217" w:rsidRDefault="00871FE3" w:rsidP="00871FE3">
            <w:pPr>
              <w:spacing w:after="0" w:line="240" w:lineRule="auto"/>
              <w:rPr>
                <w:rFonts w:eastAsia="Times New Roman" w:cstheme="minorHAnsi"/>
                <w:color w:val="000000"/>
                <w:lang w:eastAsia="en-IN"/>
              </w:rPr>
            </w:pPr>
            <w:r w:rsidRPr="00A40217">
              <w:rPr>
                <w:rFonts w:eastAsia="Times New Roman" w:cstheme="minorHAnsi"/>
                <w:color w:val="000000"/>
                <w:lang w:eastAsia="en-IN"/>
              </w:rPr>
              <w:t>DALYs</w:t>
            </w:r>
          </w:p>
        </w:tc>
        <w:tc>
          <w:tcPr>
            <w:tcW w:w="1160" w:type="dxa"/>
            <w:shd w:val="clear" w:color="auto" w:fill="auto"/>
            <w:noWrap/>
            <w:vAlign w:val="bottom"/>
            <w:hideMark/>
          </w:tcPr>
          <w:p w14:paraId="5A9C3F9F"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173024</w:t>
            </w:r>
          </w:p>
        </w:tc>
        <w:tc>
          <w:tcPr>
            <w:tcW w:w="1160" w:type="dxa"/>
            <w:shd w:val="clear" w:color="auto" w:fill="auto"/>
            <w:noWrap/>
            <w:vAlign w:val="bottom"/>
            <w:hideMark/>
          </w:tcPr>
          <w:p w14:paraId="3741AC1A"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266875</w:t>
            </w:r>
          </w:p>
        </w:tc>
      </w:tr>
      <w:tr w:rsidR="00871FE3" w:rsidRPr="00A40217" w14:paraId="2178C00C" w14:textId="77777777" w:rsidTr="00871FE3">
        <w:trPr>
          <w:trHeight w:val="288"/>
        </w:trPr>
        <w:tc>
          <w:tcPr>
            <w:tcW w:w="1140" w:type="dxa"/>
            <w:shd w:val="clear" w:color="auto" w:fill="auto"/>
            <w:noWrap/>
            <w:vAlign w:val="bottom"/>
            <w:hideMark/>
          </w:tcPr>
          <w:p w14:paraId="1BE895AA" w14:textId="77777777" w:rsidR="00871FE3" w:rsidRPr="00A40217" w:rsidRDefault="00871FE3" w:rsidP="00871FE3">
            <w:pPr>
              <w:spacing w:after="0" w:line="240" w:lineRule="auto"/>
              <w:rPr>
                <w:rFonts w:eastAsia="Times New Roman" w:cstheme="minorHAnsi"/>
                <w:color w:val="000000"/>
                <w:lang w:eastAsia="en-IN"/>
              </w:rPr>
            </w:pPr>
            <w:proofErr w:type="spellStart"/>
            <w:r w:rsidRPr="00A40217">
              <w:rPr>
                <w:rFonts w:eastAsia="Times New Roman" w:cstheme="minorHAnsi"/>
                <w:color w:val="000000"/>
                <w:lang w:eastAsia="en-IN"/>
              </w:rPr>
              <w:t>cvd_stroke</w:t>
            </w:r>
            <w:proofErr w:type="spellEnd"/>
          </w:p>
        </w:tc>
        <w:tc>
          <w:tcPr>
            <w:tcW w:w="1000" w:type="dxa"/>
            <w:shd w:val="clear" w:color="auto" w:fill="auto"/>
            <w:noWrap/>
            <w:vAlign w:val="bottom"/>
            <w:hideMark/>
          </w:tcPr>
          <w:p w14:paraId="44C25906" w14:textId="77777777" w:rsidR="00871FE3" w:rsidRPr="00A40217" w:rsidRDefault="00871FE3" w:rsidP="00871FE3">
            <w:pPr>
              <w:spacing w:after="0" w:line="240" w:lineRule="auto"/>
              <w:rPr>
                <w:rFonts w:eastAsia="Times New Roman" w:cstheme="minorHAnsi"/>
                <w:color w:val="000000"/>
                <w:lang w:eastAsia="en-IN"/>
              </w:rPr>
            </w:pPr>
            <w:r w:rsidRPr="00A40217">
              <w:rPr>
                <w:rFonts w:eastAsia="Times New Roman" w:cstheme="minorHAnsi"/>
                <w:color w:val="000000"/>
                <w:lang w:eastAsia="en-IN"/>
              </w:rPr>
              <w:t>DALYs</w:t>
            </w:r>
          </w:p>
        </w:tc>
        <w:tc>
          <w:tcPr>
            <w:tcW w:w="1160" w:type="dxa"/>
            <w:shd w:val="clear" w:color="auto" w:fill="auto"/>
            <w:noWrap/>
            <w:vAlign w:val="bottom"/>
            <w:hideMark/>
          </w:tcPr>
          <w:p w14:paraId="6EDE12D8"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21720</w:t>
            </w:r>
          </w:p>
        </w:tc>
        <w:tc>
          <w:tcPr>
            <w:tcW w:w="1160" w:type="dxa"/>
            <w:shd w:val="clear" w:color="auto" w:fill="auto"/>
            <w:noWrap/>
            <w:vAlign w:val="bottom"/>
            <w:hideMark/>
          </w:tcPr>
          <w:p w14:paraId="5885D63D"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22112</w:t>
            </w:r>
          </w:p>
        </w:tc>
      </w:tr>
      <w:tr w:rsidR="00871FE3" w:rsidRPr="00A40217" w14:paraId="11C41E08" w14:textId="77777777" w:rsidTr="00871FE3">
        <w:trPr>
          <w:trHeight w:val="288"/>
        </w:trPr>
        <w:tc>
          <w:tcPr>
            <w:tcW w:w="1140" w:type="dxa"/>
            <w:shd w:val="clear" w:color="auto" w:fill="auto"/>
            <w:noWrap/>
            <w:vAlign w:val="bottom"/>
            <w:hideMark/>
          </w:tcPr>
          <w:p w14:paraId="306C56B1" w14:textId="77777777" w:rsidR="00871FE3" w:rsidRPr="00A40217" w:rsidRDefault="00871FE3" w:rsidP="00871FE3">
            <w:pPr>
              <w:spacing w:after="0" w:line="240" w:lineRule="auto"/>
              <w:rPr>
                <w:rFonts w:eastAsia="Times New Roman" w:cstheme="minorHAnsi"/>
                <w:color w:val="000000"/>
                <w:lang w:eastAsia="en-IN"/>
              </w:rPr>
            </w:pPr>
            <w:r w:rsidRPr="00A40217">
              <w:rPr>
                <w:rFonts w:eastAsia="Times New Roman" w:cstheme="minorHAnsi"/>
                <w:color w:val="000000"/>
                <w:lang w:eastAsia="en-IN"/>
              </w:rPr>
              <w:t>depress</w:t>
            </w:r>
          </w:p>
        </w:tc>
        <w:tc>
          <w:tcPr>
            <w:tcW w:w="1000" w:type="dxa"/>
            <w:shd w:val="clear" w:color="auto" w:fill="auto"/>
            <w:noWrap/>
            <w:vAlign w:val="bottom"/>
            <w:hideMark/>
          </w:tcPr>
          <w:p w14:paraId="47467EF8" w14:textId="77777777" w:rsidR="00871FE3" w:rsidRPr="00A40217" w:rsidRDefault="00871FE3" w:rsidP="00871FE3">
            <w:pPr>
              <w:spacing w:after="0" w:line="240" w:lineRule="auto"/>
              <w:rPr>
                <w:rFonts w:eastAsia="Times New Roman" w:cstheme="minorHAnsi"/>
                <w:color w:val="000000"/>
                <w:lang w:eastAsia="en-IN"/>
              </w:rPr>
            </w:pPr>
            <w:r w:rsidRPr="00A40217">
              <w:rPr>
                <w:rFonts w:eastAsia="Times New Roman" w:cstheme="minorHAnsi"/>
                <w:color w:val="000000"/>
                <w:lang w:eastAsia="en-IN"/>
              </w:rPr>
              <w:t>DALYs</w:t>
            </w:r>
          </w:p>
        </w:tc>
        <w:tc>
          <w:tcPr>
            <w:tcW w:w="1160" w:type="dxa"/>
            <w:shd w:val="clear" w:color="auto" w:fill="auto"/>
            <w:noWrap/>
            <w:vAlign w:val="bottom"/>
            <w:hideMark/>
          </w:tcPr>
          <w:p w14:paraId="7681D28C"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37390</w:t>
            </w:r>
          </w:p>
        </w:tc>
        <w:tc>
          <w:tcPr>
            <w:tcW w:w="1160" w:type="dxa"/>
            <w:shd w:val="clear" w:color="auto" w:fill="auto"/>
            <w:noWrap/>
            <w:vAlign w:val="bottom"/>
            <w:hideMark/>
          </w:tcPr>
          <w:p w14:paraId="6D77389F"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31277</w:t>
            </w:r>
          </w:p>
        </w:tc>
      </w:tr>
      <w:tr w:rsidR="00871FE3" w:rsidRPr="00A40217" w14:paraId="65784771" w14:textId="77777777" w:rsidTr="00871FE3">
        <w:trPr>
          <w:trHeight w:val="288"/>
        </w:trPr>
        <w:tc>
          <w:tcPr>
            <w:tcW w:w="1140" w:type="dxa"/>
            <w:shd w:val="clear" w:color="auto" w:fill="auto"/>
            <w:noWrap/>
            <w:vAlign w:val="bottom"/>
            <w:hideMark/>
          </w:tcPr>
          <w:p w14:paraId="2BC0CC89" w14:textId="77777777" w:rsidR="00871FE3" w:rsidRPr="00A40217" w:rsidRDefault="00871FE3" w:rsidP="00871FE3">
            <w:pPr>
              <w:spacing w:after="0" w:line="240" w:lineRule="auto"/>
              <w:rPr>
                <w:rFonts w:eastAsia="Times New Roman" w:cstheme="minorHAnsi"/>
                <w:color w:val="000000"/>
                <w:lang w:eastAsia="en-IN"/>
              </w:rPr>
            </w:pPr>
            <w:proofErr w:type="spellStart"/>
            <w:r w:rsidRPr="00A40217">
              <w:rPr>
                <w:rFonts w:eastAsia="Times New Roman" w:cstheme="minorHAnsi"/>
                <w:color w:val="000000"/>
                <w:lang w:eastAsia="en-IN"/>
              </w:rPr>
              <w:t>resp_copd</w:t>
            </w:r>
            <w:proofErr w:type="spellEnd"/>
          </w:p>
        </w:tc>
        <w:tc>
          <w:tcPr>
            <w:tcW w:w="1000" w:type="dxa"/>
            <w:shd w:val="clear" w:color="auto" w:fill="auto"/>
            <w:noWrap/>
            <w:vAlign w:val="bottom"/>
            <w:hideMark/>
          </w:tcPr>
          <w:p w14:paraId="1E735D04" w14:textId="77777777" w:rsidR="00871FE3" w:rsidRPr="00A40217" w:rsidRDefault="00871FE3" w:rsidP="00871FE3">
            <w:pPr>
              <w:spacing w:after="0" w:line="240" w:lineRule="auto"/>
              <w:rPr>
                <w:rFonts w:eastAsia="Times New Roman" w:cstheme="minorHAnsi"/>
                <w:color w:val="000000"/>
                <w:lang w:eastAsia="en-IN"/>
              </w:rPr>
            </w:pPr>
            <w:r w:rsidRPr="00A40217">
              <w:rPr>
                <w:rFonts w:eastAsia="Times New Roman" w:cstheme="minorHAnsi"/>
                <w:color w:val="000000"/>
                <w:lang w:eastAsia="en-IN"/>
              </w:rPr>
              <w:t>DALYs</w:t>
            </w:r>
          </w:p>
        </w:tc>
        <w:tc>
          <w:tcPr>
            <w:tcW w:w="1160" w:type="dxa"/>
            <w:shd w:val="clear" w:color="auto" w:fill="auto"/>
            <w:noWrap/>
            <w:vAlign w:val="bottom"/>
            <w:hideMark/>
          </w:tcPr>
          <w:p w14:paraId="4AC4339A"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70484</w:t>
            </w:r>
          </w:p>
        </w:tc>
        <w:tc>
          <w:tcPr>
            <w:tcW w:w="1160" w:type="dxa"/>
            <w:shd w:val="clear" w:color="auto" w:fill="auto"/>
            <w:noWrap/>
            <w:vAlign w:val="bottom"/>
            <w:hideMark/>
          </w:tcPr>
          <w:p w14:paraId="63FC69EB"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98742</w:t>
            </w:r>
          </w:p>
        </w:tc>
      </w:tr>
      <w:tr w:rsidR="00871FE3" w:rsidRPr="00A40217" w14:paraId="3009E97B" w14:textId="77777777" w:rsidTr="00871FE3">
        <w:trPr>
          <w:trHeight w:val="288"/>
        </w:trPr>
        <w:tc>
          <w:tcPr>
            <w:tcW w:w="1140" w:type="dxa"/>
            <w:shd w:val="clear" w:color="auto" w:fill="auto"/>
            <w:noWrap/>
            <w:vAlign w:val="bottom"/>
            <w:hideMark/>
          </w:tcPr>
          <w:p w14:paraId="5259A98B" w14:textId="77777777" w:rsidR="00871FE3" w:rsidRPr="00A40217" w:rsidRDefault="00871FE3" w:rsidP="00871FE3">
            <w:pPr>
              <w:spacing w:after="0" w:line="240" w:lineRule="auto"/>
              <w:rPr>
                <w:rFonts w:eastAsia="Times New Roman" w:cstheme="minorHAnsi"/>
                <w:color w:val="000000"/>
                <w:lang w:eastAsia="en-IN"/>
              </w:rPr>
            </w:pPr>
            <w:r w:rsidRPr="00A40217">
              <w:rPr>
                <w:rFonts w:eastAsia="Times New Roman" w:cstheme="minorHAnsi"/>
                <w:color w:val="000000"/>
                <w:lang w:eastAsia="en-IN"/>
              </w:rPr>
              <w:t>t2d</w:t>
            </w:r>
          </w:p>
        </w:tc>
        <w:tc>
          <w:tcPr>
            <w:tcW w:w="1000" w:type="dxa"/>
            <w:shd w:val="clear" w:color="auto" w:fill="auto"/>
            <w:noWrap/>
            <w:vAlign w:val="bottom"/>
            <w:hideMark/>
          </w:tcPr>
          <w:p w14:paraId="54CA1E20" w14:textId="77777777" w:rsidR="00871FE3" w:rsidRPr="00A40217" w:rsidRDefault="00871FE3" w:rsidP="00871FE3">
            <w:pPr>
              <w:spacing w:after="0" w:line="240" w:lineRule="auto"/>
              <w:rPr>
                <w:rFonts w:eastAsia="Times New Roman" w:cstheme="minorHAnsi"/>
                <w:color w:val="000000"/>
                <w:lang w:eastAsia="en-IN"/>
              </w:rPr>
            </w:pPr>
            <w:r w:rsidRPr="00A40217">
              <w:rPr>
                <w:rFonts w:eastAsia="Times New Roman" w:cstheme="minorHAnsi"/>
                <w:color w:val="000000"/>
                <w:lang w:eastAsia="en-IN"/>
              </w:rPr>
              <w:t>DALYs</w:t>
            </w:r>
          </w:p>
        </w:tc>
        <w:tc>
          <w:tcPr>
            <w:tcW w:w="1160" w:type="dxa"/>
            <w:shd w:val="clear" w:color="auto" w:fill="auto"/>
            <w:noWrap/>
            <w:vAlign w:val="bottom"/>
            <w:hideMark/>
          </w:tcPr>
          <w:p w14:paraId="68F2894A"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71713</w:t>
            </w:r>
          </w:p>
        </w:tc>
        <w:tc>
          <w:tcPr>
            <w:tcW w:w="1160" w:type="dxa"/>
            <w:shd w:val="clear" w:color="auto" w:fill="auto"/>
            <w:noWrap/>
            <w:vAlign w:val="bottom"/>
            <w:hideMark/>
          </w:tcPr>
          <w:p w14:paraId="3B89C9A7"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66308</w:t>
            </w:r>
          </w:p>
        </w:tc>
      </w:tr>
      <w:tr w:rsidR="00871FE3" w:rsidRPr="00A40217" w14:paraId="189BA059" w14:textId="77777777" w:rsidTr="00871FE3">
        <w:trPr>
          <w:trHeight w:val="288"/>
        </w:trPr>
        <w:tc>
          <w:tcPr>
            <w:tcW w:w="1140" w:type="dxa"/>
            <w:shd w:val="clear" w:color="auto" w:fill="D0CECE" w:themeFill="background2" w:themeFillShade="E6"/>
            <w:noWrap/>
            <w:vAlign w:val="bottom"/>
            <w:hideMark/>
          </w:tcPr>
          <w:p w14:paraId="074ED70C" w14:textId="77777777" w:rsidR="00871FE3" w:rsidRPr="00A40217" w:rsidRDefault="00871FE3" w:rsidP="00871FE3">
            <w:pPr>
              <w:spacing w:after="0" w:line="240" w:lineRule="auto"/>
              <w:rPr>
                <w:rFonts w:eastAsia="Times New Roman" w:cstheme="minorHAnsi"/>
                <w:color w:val="000000"/>
                <w:lang w:eastAsia="en-IN"/>
              </w:rPr>
            </w:pPr>
            <w:r w:rsidRPr="00A40217">
              <w:rPr>
                <w:rFonts w:eastAsia="Times New Roman" w:cstheme="minorHAnsi"/>
                <w:color w:val="000000"/>
                <w:lang w:eastAsia="en-IN"/>
              </w:rPr>
              <w:t>Total</w:t>
            </w:r>
          </w:p>
        </w:tc>
        <w:tc>
          <w:tcPr>
            <w:tcW w:w="1000" w:type="dxa"/>
            <w:shd w:val="clear" w:color="auto" w:fill="D0CECE" w:themeFill="background2" w:themeFillShade="E6"/>
            <w:noWrap/>
            <w:vAlign w:val="bottom"/>
            <w:hideMark/>
          </w:tcPr>
          <w:p w14:paraId="769CA625" w14:textId="77777777" w:rsidR="00871FE3" w:rsidRPr="00A40217" w:rsidRDefault="00871FE3" w:rsidP="00871FE3">
            <w:pPr>
              <w:spacing w:after="0" w:line="240" w:lineRule="auto"/>
              <w:rPr>
                <w:rFonts w:eastAsia="Times New Roman" w:cstheme="minorHAnsi"/>
                <w:color w:val="000000"/>
                <w:lang w:eastAsia="en-IN"/>
              </w:rPr>
            </w:pPr>
            <w:r w:rsidRPr="00A40217">
              <w:rPr>
                <w:rFonts w:eastAsia="Times New Roman" w:cstheme="minorHAnsi"/>
                <w:color w:val="000000"/>
                <w:lang w:eastAsia="en-IN"/>
              </w:rPr>
              <w:t>Deaths</w:t>
            </w:r>
          </w:p>
        </w:tc>
        <w:tc>
          <w:tcPr>
            <w:tcW w:w="1160" w:type="dxa"/>
            <w:shd w:val="clear" w:color="auto" w:fill="D0CECE" w:themeFill="background2" w:themeFillShade="E6"/>
            <w:noWrap/>
            <w:vAlign w:val="bottom"/>
            <w:hideMark/>
          </w:tcPr>
          <w:p w14:paraId="729EE1E2"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438573</w:t>
            </w:r>
          </w:p>
        </w:tc>
        <w:tc>
          <w:tcPr>
            <w:tcW w:w="1160" w:type="dxa"/>
            <w:shd w:val="clear" w:color="auto" w:fill="D0CECE" w:themeFill="background2" w:themeFillShade="E6"/>
            <w:noWrap/>
            <w:vAlign w:val="bottom"/>
            <w:hideMark/>
          </w:tcPr>
          <w:p w14:paraId="544C9276" w14:textId="77777777" w:rsidR="00871FE3" w:rsidRPr="00A40217" w:rsidRDefault="00871FE3" w:rsidP="00871FE3">
            <w:pPr>
              <w:spacing w:after="0" w:line="240" w:lineRule="auto"/>
              <w:jc w:val="right"/>
              <w:rPr>
                <w:rFonts w:eastAsia="Times New Roman" w:cstheme="minorHAnsi"/>
                <w:color w:val="000000"/>
                <w:lang w:eastAsia="en-IN"/>
              </w:rPr>
            </w:pPr>
            <w:r w:rsidRPr="00A40217">
              <w:rPr>
                <w:rFonts w:eastAsia="Times New Roman" w:cstheme="minorHAnsi"/>
                <w:color w:val="000000"/>
                <w:lang w:eastAsia="en-IN"/>
              </w:rPr>
              <w:t>503190</w:t>
            </w:r>
          </w:p>
        </w:tc>
      </w:tr>
    </w:tbl>
    <w:p w14:paraId="0FDD7C21" w14:textId="4667D90C" w:rsidR="00871FE3" w:rsidRPr="00A40217" w:rsidRDefault="00871FE3" w:rsidP="00D600D4">
      <w:pPr>
        <w:rPr>
          <w:rFonts w:cstheme="minorHAnsi"/>
        </w:rPr>
      </w:pPr>
    </w:p>
    <w:p w14:paraId="46F1396D" w14:textId="5C164C39" w:rsidR="00836C5D" w:rsidRPr="00A40217" w:rsidRDefault="00A31326" w:rsidP="00186761">
      <w:pPr>
        <w:pStyle w:val="Heading1"/>
        <w:spacing w:after="0"/>
        <w:jc w:val="both"/>
        <w:rPr>
          <w:rFonts w:asciiTheme="minorHAnsi" w:hAnsiTheme="minorHAnsi" w:cstheme="minorHAnsi"/>
        </w:rPr>
      </w:pPr>
      <w:bookmarkStart w:id="14" w:name="_Toc85106181"/>
      <w:r w:rsidRPr="00A40217">
        <w:rPr>
          <w:rFonts w:asciiTheme="minorHAnsi" w:hAnsiTheme="minorHAnsi" w:cstheme="minorHAnsi"/>
          <w:caps w:val="0"/>
        </w:rPr>
        <w:lastRenderedPageBreak/>
        <w:t>HEALTH IMPACT CALCULATIONS</w:t>
      </w:r>
      <w:bookmarkEnd w:id="14"/>
    </w:p>
    <w:p w14:paraId="2F34DEAB" w14:textId="77777777" w:rsidR="00836C5D" w:rsidRPr="00A40217" w:rsidRDefault="00836C5D" w:rsidP="00A31326">
      <w:pPr>
        <w:pStyle w:val="Heading2"/>
        <w:ind w:left="578" w:hanging="578"/>
        <w:rPr>
          <w:rFonts w:asciiTheme="minorHAnsi" w:hAnsiTheme="minorHAnsi" w:cstheme="minorHAnsi"/>
        </w:rPr>
      </w:pPr>
      <w:bookmarkStart w:id="15" w:name="_Toc477776502"/>
      <w:bookmarkStart w:id="16" w:name="_Toc85106182"/>
      <w:r w:rsidRPr="00A40217">
        <w:rPr>
          <w:rFonts w:asciiTheme="minorHAnsi" w:hAnsiTheme="minorHAnsi" w:cstheme="minorHAnsi"/>
        </w:rPr>
        <w:t>Health Impact Estimates</w:t>
      </w:r>
      <w:bookmarkEnd w:id="15"/>
      <w:bookmarkEnd w:id="16"/>
    </w:p>
    <w:p w14:paraId="1A4F1852" w14:textId="39435526" w:rsidR="00836C5D" w:rsidRPr="00A40217" w:rsidRDefault="00836C5D" w:rsidP="00836C5D">
      <w:pPr>
        <w:rPr>
          <w:rFonts w:cstheme="minorHAnsi"/>
        </w:rPr>
      </w:pPr>
      <w:r w:rsidRPr="00A40217">
        <w:rPr>
          <w:rFonts w:cstheme="minorHAnsi"/>
        </w:rPr>
        <w:t>For PM</w:t>
      </w:r>
      <w:r w:rsidRPr="00A40217">
        <w:rPr>
          <w:rFonts w:cstheme="minorHAnsi"/>
          <w:vertAlign w:val="subscript"/>
        </w:rPr>
        <w:t>2.5</w:t>
      </w:r>
      <w:r w:rsidRPr="00A40217">
        <w:rPr>
          <w:rFonts w:cstheme="minorHAnsi"/>
        </w:rPr>
        <w:t xml:space="preserve"> pollution and physical activity, </w:t>
      </w:r>
      <w:proofErr w:type="gramStart"/>
      <w:r w:rsidRPr="00A40217">
        <w:rPr>
          <w:rFonts w:cstheme="minorHAnsi"/>
        </w:rPr>
        <w:t>WHO’s</w:t>
      </w:r>
      <w:proofErr w:type="gramEnd"/>
      <w:r w:rsidRPr="00A40217">
        <w:rPr>
          <w:rFonts w:cstheme="minorHAnsi"/>
        </w:rPr>
        <w:t xml:space="preserve"> comparative risk assessment (CRA) methodology has been used (</w:t>
      </w:r>
      <w:proofErr w:type="spellStart"/>
      <w:r w:rsidRPr="00A40217">
        <w:rPr>
          <w:rFonts w:cstheme="minorHAnsi"/>
        </w:rPr>
        <w:t>Ezzati</w:t>
      </w:r>
      <w:proofErr w:type="spellEnd"/>
      <w:r w:rsidRPr="00A40217">
        <w:rPr>
          <w:rFonts w:cstheme="minorHAnsi"/>
        </w:rPr>
        <w:t xml:space="preserve"> et al., 2004), as given in equation </w:t>
      </w:r>
      <w:r w:rsidR="00DB37E4">
        <w:rPr>
          <w:rFonts w:cstheme="minorHAnsi"/>
        </w:rPr>
        <w:t>below</w:t>
      </w:r>
      <w:r w:rsidRPr="00A40217">
        <w:rPr>
          <w:rFonts w:cstheme="minorHAnsi"/>
        </w:rPr>
        <w:t>.  Conceptually, the population attributable fraction (PAF) is the fraction by which the occurrence of a disease of interest would be reduced (or increased) compared to a counterfactual distribution. For pollution, the counterfactual is the exposure level at which the risk of the population for the given risk factor is theoretically minimised.</w:t>
      </w: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015"/>
      </w:tblGrid>
      <w:tr w:rsidR="00836C5D" w:rsidRPr="00A40217" w14:paraId="3A0B16B9" w14:textId="77777777" w:rsidTr="00A36BB9">
        <w:trPr>
          <w:trHeight w:hRule="exact" w:val="675"/>
        </w:trPr>
        <w:tc>
          <w:tcPr>
            <w:tcW w:w="8075" w:type="dxa"/>
          </w:tcPr>
          <w:p w14:paraId="6764BF3A" w14:textId="77777777" w:rsidR="00836C5D" w:rsidRPr="00A40217" w:rsidRDefault="00836C5D" w:rsidP="00A36BB9">
            <w:pPr>
              <w:spacing w:after="200"/>
              <w:jc w:val="center"/>
              <w:rPr>
                <w:rFonts w:cstheme="minorHAnsi"/>
              </w:rPr>
            </w:pPr>
            <m:oMath>
              <m:r>
                <w:rPr>
                  <w:rFonts w:ascii="Cambria Math" w:hAnsi="Cambria Math" w:cstheme="minorHAnsi"/>
                </w:rPr>
                <m:t xml:space="preserve">PAF= </m:t>
              </m:r>
              <m:f>
                <m:fPr>
                  <m:ctrlPr>
                    <w:rPr>
                      <w:rFonts w:ascii="Cambria Math" w:hAnsi="Cambria Math" w:cstheme="minorHAnsi"/>
                      <w:i/>
                    </w:rPr>
                  </m:ctrlPr>
                </m:fPr>
                <m:num>
                  <m:nary>
                    <m:naryPr>
                      <m:limLoc m:val="undOvr"/>
                      <m:ctrlPr>
                        <w:rPr>
                          <w:rFonts w:ascii="Cambria Math" w:hAnsi="Cambria Math" w:cstheme="minorHAnsi"/>
                          <w:i/>
                        </w:rPr>
                      </m:ctrlPr>
                    </m:naryPr>
                    <m:sub>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min</m:t>
                          </m:r>
                        </m:sub>
                      </m:sSub>
                    </m:sub>
                    <m:sup>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max</m:t>
                          </m:r>
                        </m:sub>
                      </m:sSub>
                    </m:sup>
                    <m:e>
                      <m:r>
                        <w:rPr>
                          <w:rFonts w:ascii="Cambria Math" w:hAnsi="Cambria Math" w:cstheme="minorHAnsi"/>
                        </w:rPr>
                        <m:t>RR</m:t>
                      </m:r>
                      <m:d>
                        <m:dPr>
                          <m:ctrlPr>
                            <w:rPr>
                              <w:rFonts w:ascii="Cambria Math" w:hAnsi="Cambria Math" w:cstheme="minorHAnsi"/>
                              <w:i/>
                            </w:rPr>
                          </m:ctrlPr>
                        </m:dPr>
                        <m:e>
                          <m:r>
                            <w:rPr>
                              <w:rFonts w:ascii="Cambria Math" w:hAnsi="Cambria Math" w:cstheme="minorHAnsi"/>
                            </w:rPr>
                            <m:t>x</m:t>
                          </m:r>
                        </m:e>
                      </m:d>
                      <m:r>
                        <w:rPr>
                          <w:rFonts w:ascii="Cambria Math" w:hAnsi="Cambria Math" w:cstheme="minorHAnsi"/>
                        </w:rPr>
                        <m:t>P</m:t>
                      </m:r>
                      <m:d>
                        <m:dPr>
                          <m:ctrlPr>
                            <w:rPr>
                              <w:rFonts w:ascii="Cambria Math" w:hAnsi="Cambria Math" w:cstheme="minorHAnsi"/>
                              <w:i/>
                            </w:rPr>
                          </m:ctrlPr>
                        </m:dPr>
                        <m:e>
                          <m:r>
                            <w:rPr>
                              <w:rFonts w:ascii="Cambria Math" w:hAnsi="Cambria Math" w:cstheme="minorHAnsi"/>
                            </w:rPr>
                            <m:t>x</m:t>
                          </m:r>
                        </m:e>
                      </m:d>
                      <m:r>
                        <w:rPr>
                          <w:rFonts w:ascii="Cambria Math" w:hAnsi="Cambria Math" w:cstheme="minorHAnsi"/>
                        </w:rPr>
                        <m:t xml:space="preserve">dx- </m:t>
                      </m:r>
                      <m:nary>
                        <m:naryPr>
                          <m:limLoc m:val="undOvr"/>
                          <m:ctrlPr>
                            <w:rPr>
                              <w:rFonts w:ascii="Cambria Math" w:hAnsi="Cambria Math" w:cstheme="minorHAnsi"/>
                              <w:i/>
                            </w:rPr>
                          </m:ctrlPr>
                        </m:naryPr>
                        <m:sub>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min</m:t>
                              </m:r>
                            </m:sub>
                          </m:sSub>
                        </m:sub>
                        <m:sup>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max</m:t>
                              </m:r>
                            </m:sub>
                          </m:sSub>
                        </m:sup>
                        <m:e>
                          <m:r>
                            <w:rPr>
                              <w:rFonts w:ascii="Cambria Math" w:hAnsi="Cambria Math" w:cstheme="minorHAnsi"/>
                            </w:rPr>
                            <m:t>RR(x)Q</m:t>
                          </m:r>
                          <m:d>
                            <m:dPr>
                              <m:ctrlPr>
                                <w:rPr>
                                  <w:rFonts w:ascii="Cambria Math" w:hAnsi="Cambria Math" w:cstheme="minorHAnsi"/>
                                  <w:i/>
                                </w:rPr>
                              </m:ctrlPr>
                            </m:dPr>
                            <m:e>
                              <m:r>
                                <w:rPr>
                                  <w:rFonts w:ascii="Cambria Math" w:hAnsi="Cambria Math" w:cstheme="minorHAnsi"/>
                                </w:rPr>
                                <m:t>x</m:t>
                              </m:r>
                            </m:e>
                          </m:d>
                          <m:r>
                            <w:rPr>
                              <w:rFonts w:ascii="Cambria Math" w:hAnsi="Cambria Math" w:cstheme="minorHAnsi"/>
                            </w:rPr>
                            <m:t>dx</m:t>
                          </m:r>
                        </m:e>
                      </m:nary>
                    </m:e>
                  </m:nary>
                </m:num>
                <m:den>
                  <m:nary>
                    <m:naryPr>
                      <m:limLoc m:val="undOvr"/>
                      <m:ctrlPr>
                        <w:rPr>
                          <w:rFonts w:ascii="Cambria Math" w:hAnsi="Cambria Math" w:cstheme="minorHAnsi"/>
                          <w:i/>
                        </w:rPr>
                      </m:ctrlPr>
                    </m:naryPr>
                    <m:sub>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min</m:t>
                          </m:r>
                        </m:sub>
                      </m:sSub>
                    </m:sub>
                    <m:sup>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max</m:t>
                          </m:r>
                        </m:sub>
                      </m:sSub>
                    </m:sup>
                    <m:e>
                      <m:r>
                        <w:rPr>
                          <w:rFonts w:ascii="Cambria Math" w:hAnsi="Cambria Math" w:cstheme="minorHAnsi"/>
                        </w:rPr>
                        <m:t>R</m:t>
                      </m:r>
                      <m:d>
                        <m:dPr>
                          <m:ctrlPr>
                            <w:rPr>
                              <w:rFonts w:ascii="Cambria Math" w:hAnsi="Cambria Math" w:cstheme="minorHAnsi"/>
                              <w:i/>
                            </w:rPr>
                          </m:ctrlPr>
                        </m:dPr>
                        <m:e>
                          <m:r>
                            <w:rPr>
                              <w:rFonts w:ascii="Cambria Math" w:hAnsi="Cambria Math" w:cstheme="minorHAnsi"/>
                            </w:rPr>
                            <m:t>x</m:t>
                          </m:r>
                        </m:e>
                      </m:d>
                      <m:r>
                        <w:rPr>
                          <w:rFonts w:ascii="Cambria Math" w:hAnsi="Cambria Math" w:cstheme="minorHAnsi"/>
                        </w:rPr>
                        <m:t>P</m:t>
                      </m:r>
                      <m:d>
                        <m:dPr>
                          <m:ctrlPr>
                            <w:rPr>
                              <w:rFonts w:ascii="Cambria Math" w:hAnsi="Cambria Math" w:cstheme="minorHAnsi"/>
                              <w:i/>
                            </w:rPr>
                          </m:ctrlPr>
                        </m:dPr>
                        <m:e>
                          <m:r>
                            <w:rPr>
                              <w:rFonts w:ascii="Cambria Math" w:hAnsi="Cambria Math" w:cstheme="minorHAnsi"/>
                            </w:rPr>
                            <m:t>x</m:t>
                          </m:r>
                        </m:e>
                      </m:d>
                      <m:r>
                        <w:rPr>
                          <w:rFonts w:ascii="Cambria Math" w:hAnsi="Cambria Math" w:cstheme="minorHAnsi"/>
                        </w:rPr>
                        <m:t>dx</m:t>
                      </m:r>
                    </m:e>
                  </m:nary>
                </m:den>
              </m:f>
            </m:oMath>
            <w:r w:rsidRPr="00A40217">
              <w:rPr>
                <w:rFonts w:cstheme="minorHAnsi"/>
              </w:rPr>
              <w:t xml:space="preserve"> </w:t>
            </w:r>
            <w:r w:rsidRPr="00A40217">
              <w:rPr>
                <w:rFonts w:cstheme="minorHAnsi"/>
              </w:rPr>
              <w:tab/>
            </w:r>
            <w:r w:rsidRPr="00A40217">
              <w:rPr>
                <w:rFonts w:cstheme="minorHAnsi"/>
              </w:rPr>
              <w:tab/>
            </w:r>
          </w:p>
        </w:tc>
        <w:tc>
          <w:tcPr>
            <w:tcW w:w="1015" w:type="dxa"/>
          </w:tcPr>
          <w:p w14:paraId="1F09122D" w14:textId="627B6A1D" w:rsidR="00836C5D" w:rsidRPr="00A40217" w:rsidRDefault="00836C5D" w:rsidP="00A36BB9">
            <w:pPr>
              <w:spacing w:after="200"/>
              <w:jc w:val="right"/>
              <w:rPr>
                <w:rFonts w:cstheme="minorHAnsi"/>
              </w:rPr>
            </w:pPr>
          </w:p>
        </w:tc>
      </w:tr>
    </w:tbl>
    <w:p w14:paraId="567390E5" w14:textId="77777777" w:rsidR="00836C5D" w:rsidRPr="00A40217" w:rsidRDefault="00836C5D" w:rsidP="00836C5D">
      <w:pPr>
        <w:rPr>
          <w:rFonts w:cstheme="minorHAnsi"/>
        </w:rPr>
      </w:pPr>
      <w:r w:rsidRPr="00A40217">
        <w:rPr>
          <w:rFonts w:cstheme="minorHAnsi"/>
        </w:rPr>
        <w:t>where,</w:t>
      </w:r>
      <w:r w:rsidRPr="00A40217">
        <w:rPr>
          <w:rFonts w:cstheme="minorHAnsi"/>
          <w:i/>
        </w:rPr>
        <w:t xml:space="preserve"> x</w:t>
      </w:r>
      <w:r w:rsidRPr="00A40217">
        <w:rPr>
          <w:rFonts w:cstheme="minorHAnsi"/>
        </w:rPr>
        <w:t xml:space="preserve"> = observed exposure level, such as minutes of physical activity or PM</w:t>
      </w:r>
      <w:r w:rsidRPr="00A40217">
        <w:rPr>
          <w:rFonts w:cstheme="minorHAnsi"/>
          <w:vertAlign w:val="subscript"/>
        </w:rPr>
        <w:t>2.5</w:t>
      </w:r>
      <w:r w:rsidRPr="00A40217">
        <w:rPr>
          <w:rFonts w:cstheme="minorHAnsi"/>
        </w:rPr>
        <w:t xml:space="preserve"> concentration</w:t>
      </w:r>
    </w:p>
    <w:p w14:paraId="2A8A8B4B" w14:textId="77777777" w:rsidR="00836C5D" w:rsidRPr="00A40217" w:rsidRDefault="00836C5D" w:rsidP="00836C5D">
      <w:pPr>
        <w:rPr>
          <w:rFonts w:cstheme="minorHAnsi"/>
        </w:rPr>
      </w:pPr>
      <w:r w:rsidRPr="00A40217">
        <w:rPr>
          <w:rFonts w:cstheme="minorHAnsi"/>
        </w:rPr>
        <w:t>RR(</w:t>
      </w:r>
      <w:r w:rsidRPr="00A40217">
        <w:rPr>
          <w:rFonts w:cstheme="minorHAnsi"/>
          <w:i/>
        </w:rPr>
        <w:t>x</w:t>
      </w:r>
      <w:r w:rsidRPr="00A40217">
        <w:rPr>
          <w:rFonts w:cstheme="minorHAnsi"/>
        </w:rPr>
        <w:t>) = relative risk at each exposure level, obtained from dose-response function</w:t>
      </w:r>
    </w:p>
    <w:p w14:paraId="200E7784" w14:textId="77777777" w:rsidR="00836C5D" w:rsidRPr="00A40217" w:rsidRDefault="00836C5D" w:rsidP="00836C5D">
      <w:pPr>
        <w:rPr>
          <w:rFonts w:cstheme="minorHAnsi"/>
        </w:rPr>
      </w:pPr>
      <w:r w:rsidRPr="00A40217">
        <w:rPr>
          <w:rFonts w:cstheme="minorHAnsi"/>
        </w:rPr>
        <w:t>P(</w:t>
      </w:r>
      <w:r w:rsidRPr="00A40217">
        <w:rPr>
          <w:rFonts w:cstheme="minorHAnsi"/>
          <w:i/>
        </w:rPr>
        <w:t>x</w:t>
      </w:r>
      <w:r w:rsidRPr="00A40217">
        <w:rPr>
          <w:rFonts w:cstheme="minorHAnsi"/>
        </w:rPr>
        <w:t>) = population distribution of exposure</w:t>
      </w:r>
    </w:p>
    <w:p w14:paraId="660BD06D" w14:textId="77777777" w:rsidR="00836C5D" w:rsidRPr="00A40217" w:rsidRDefault="00836C5D" w:rsidP="00836C5D">
      <w:pPr>
        <w:rPr>
          <w:rFonts w:cstheme="minorHAnsi"/>
          <w:caps/>
        </w:rPr>
      </w:pPr>
      <w:r w:rsidRPr="00A40217">
        <w:rPr>
          <w:rFonts w:cstheme="minorHAnsi"/>
        </w:rPr>
        <w:t>Q(</w:t>
      </w:r>
      <w:r w:rsidRPr="00A40217">
        <w:rPr>
          <w:rFonts w:cstheme="minorHAnsi"/>
          <w:i/>
        </w:rPr>
        <w:t>x</w:t>
      </w:r>
      <w:r w:rsidRPr="00A40217">
        <w:rPr>
          <w:rFonts w:cstheme="minorHAnsi"/>
        </w:rPr>
        <w:t>) = counterfactual distribution of exposure</w:t>
      </w:r>
    </w:p>
    <w:p w14:paraId="6E47DEC1" w14:textId="7EBB36C3" w:rsidR="00836C5D" w:rsidRPr="00A40217" w:rsidRDefault="00836C5D" w:rsidP="00836C5D">
      <w:pPr>
        <w:rPr>
          <w:rFonts w:cstheme="minorHAnsi"/>
        </w:rPr>
      </w:pPr>
      <w:r w:rsidRPr="00A40217">
        <w:rPr>
          <w:rFonts w:cstheme="minorHAnsi"/>
        </w:rPr>
        <w:t xml:space="preserve">For population-weighted average exposure variable and corresponding relative risk (RR) with respect to counterfactual scenario, </w:t>
      </w:r>
      <w:r w:rsidR="00DD5D23" w:rsidRPr="00A40217">
        <w:rPr>
          <w:rFonts w:cstheme="minorHAnsi"/>
        </w:rPr>
        <w:t>above equation</w:t>
      </w:r>
      <w:r w:rsidRPr="00A40217">
        <w:rPr>
          <w:rFonts w:cstheme="minorHAnsi"/>
        </w:rPr>
        <w:t xml:space="preserve"> can be simplified </w:t>
      </w:r>
      <w:r w:rsidR="00DD5D23" w:rsidRPr="00A40217">
        <w:rPr>
          <w:rFonts w:cstheme="minorHAnsi"/>
        </w:rPr>
        <w:t>as follows:</w:t>
      </w: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015"/>
      </w:tblGrid>
      <w:tr w:rsidR="00836C5D" w:rsidRPr="00A40217" w14:paraId="7F8D5186" w14:textId="77777777" w:rsidTr="00A36BB9">
        <w:trPr>
          <w:trHeight w:hRule="exact" w:val="675"/>
        </w:trPr>
        <w:tc>
          <w:tcPr>
            <w:tcW w:w="8075" w:type="dxa"/>
          </w:tcPr>
          <w:p w14:paraId="5639874D" w14:textId="77777777" w:rsidR="00836C5D" w:rsidRPr="00A40217" w:rsidRDefault="00836C5D" w:rsidP="00A36BB9">
            <w:pPr>
              <w:jc w:val="center"/>
              <w:rPr>
                <w:rFonts w:cstheme="minorHAnsi"/>
              </w:rPr>
            </w:pPr>
            <m:oMathPara>
              <m:oMath>
                <m:r>
                  <w:rPr>
                    <w:rFonts w:ascii="Cambria Math" w:hAnsi="Cambria Math" w:cstheme="minorHAnsi"/>
                  </w:rPr>
                  <m:t xml:space="preserve">PAF= </m:t>
                </m:r>
                <m:f>
                  <m:fPr>
                    <m:ctrlPr>
                      <w:rPr>
                        <w:rFonts w:ascii="Cambria Math" w:hAnsi="Cambria Math" w:cstheme="minorHAnsi"/>
                        <w:i/>
                      </w:rPr>
                    </m:ctrlPr>
                  </m:fPr>
                  <m:num>
                    <m:r>
                      <w:rPr>
                        <w:rFonts w:ascii="Cambria Math" w:hAnsi="Cambria Math" w:cstheme="minorHAnsi"/>
                      </w:rPr>
                      <m:t>RR-1</m:t>
                    </m:r>
                  </m:num>
                  <m:den>
                    <m:r>
                      <w:rPr>
                        <w:rFonts w:ascii="Cambria Math" w:hAnsi="Cambria Math" w:cstheme="minorHAnsi"/>
                      </w:rPr>
                      <m:t>RR</m:t>
                    </m:r>
                  </m:den>
                </m:f>
              </m:oMath>
            </m:oMathPara>
          </w:p>
          <w:p w14:paraId="7808721B" w14:textId="77777777" w:rsidR="00836C5D" w:rsidRPr="00A40217" w:rsidRDefault="00836C5D" w:rsidP="00A36BB9">
            <w:pPr>
              <w:spacing w:after="200"/>
              <w:jc w:val="center"/>
              <w:rPr>
                <w:rFonts w:cstheme="minorHAnsi"/>
              </w:rPr>
            </w:pPr>
            <w:r w:rsidRPr="00A40217">
              <w:rPr>
                <w:rFonts w:cstheme="minorHAnsi"/>
              </w:rPr>
              <w:t xml:space="preserve"> </w:t>
            </w:r>
            <w:r w:rsidRPr="00A40217">
              <w:rPr>
                <w:rFonts w:cstheme="minorHAnsi"/>
              </w:rPr>
              <w:tab/>
            </w:r>
            <w:r w:rsidRPr="00A40217">
              <w:rPr>
                <w:rFonts w:cstheme="minorHAnsi"/>
              </w:rPr>
              <w:tab/>
            </w:r>
          </w:p>
        </w:tc>
        <w:tc>
          <w:tcPr>
            <w:tcW w:w="1015" w:type="dxa"/>
          </w:tcPr>
          <w:p w14:paraId="770E6D8A" w14:textId="7E6B0D4F" w:rsidR="00836C5D" w:rsidRPr="00A40217" w:rsidRDefault="00836C5D" w:rsidP="00A36BB9">
            <w:pPr>
              <w:spacing w:after="200"/>
              <w:jc w:val="right"/>
              <w:rPr>
                <w:rFonts w:cstheme="minorHAnsi"/>
              </w:rPr>
            </w:pPr>
          </w:p>
        </w:tc>
      </w:tr>
    </w:tbl>
    <w:p w14:paraId="6B7D6E66" w14:textId="77777777" w:rsidR="00836C5D" w:rsidRPr="00A40217" w:rsidRDefault="00836C5D" w:rsidP="00836C5D">
      <w:pPr>
        <w:rPr>
          <w:rFonts w:cstheme="minorHAnsi"/>
        </w:rPr>
      </w:pPr>
      <w:r w:rsidRPr="00A40217">
        <w:rPr>
          <w:rFonts w:cstheme="minorHAnsi"/>
        </w:rPr>
        <w:t xml:space="preserve">The attributable burden of disease due to the risk factor, AB, is then given as: </w:t>
      </w: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015"/>
      </w:tblGrid>
      <w:tr w:rsidR="00836C5D" w:rsidRPr="00A40217" w14:paraId="7485445B" w14:textId="77777777" w:rsidTr="00A36BB9">
        <w:trPr>
          <w:trHeight w:hRule="exact" w:val="675"/>
        </w:trPr>
        <w:tc>
          <w:tcPr>
            <w:tcW w:w="8075" w:type="dxa"/>
          </w:tcPr>
          <w:p w14:paraId="46012E79" w14:textId="77777777" w:rsidR="00836C5D" w:rsidRPr="00A40217" w:rsidRDefault="00836C5D" w:rsidP="00A36BB9">
            <w:pPr>
              <w:jc w:val="center"/>
              <w:rPr>
                <w:rFonts w:cstheme="minorHAnsi"/>
              </w:rPr>
            </w:pPr>
            <w:r w:rsidRPr="00A40217">
              <w:rPr>
                <w:rFonts w:cstheme="minorHAnsi"/>
              </w:rPr>
              <w:t>AB = PAF × B</w:t>
            </w:r>
          </w:p>
          <w:p w14:paraId="3660B5B1" w14:textId="77777777" w:rsidR="00836C5D" w:rsidRPr="00A40217" w:rsidRDefault="00836C5D" w:rsidP="00A36BB9">
            <w:pPr>
              <w:spacing w:after="200"/>
              <w:jc w:val="center"/>
              <w:rPr>
                <w:rFonts w:cstheme="minorHAnsi"/>
              </w:rPr>
            </w:pPr>
          </w:p>
        </w:tc>
        <w:tc>
          <w:tcPr>
            <w:tcW w:w="1015" w:type="dxa"/>
          </w:tcPr>
          <w:p w14:paraId="37272A0F" w14:textId="5CE3BC5F" w:rsidR="00836C5D" w:rsidRPr="00A40217" w:rsidRDefault="00836C5D" w:rsidP="00A36BB9">
            <w:pPr>
              <w:spacing w:after="200"/>
              <w:jc w:val="right"/>
              <w:rPr>
                <w:rFonts w:cstheme="minorHAnsi"/>
              </w:rPr>
            </w:pPr>
          </w:p>
        </w:tc>
      </w:tr>
    </w:tbl>
    <w:p w14:paraId="379C5F21" w14:textId="78808B79" w:rsidR="00836C5D" w:rsidRPr="00A40217" w:rsidRDefault="00836C5D" w:rsidP="00836C5D">
      <w:pPr>
        <w:rPr>
          <w:rFonts w:eastAsiaTheme="minorEastAsia" w:cstheme="minorHAnsi"/>
          <w:b/>
        </w:rPr>
      </w:pPr>
      <w:r w:rsidRPr="00A40217">
        <w:rPr>
          <w:rFonts w:cstheme="minorHAnsi"/>
        </w:rPr>
        <w:t>where, B is the age- and sex-specific total burden of disease (expressed as deaths or DALYs) from a specific cause or group of causes, affected by the risk factor.</w:t>
      </w:r>
      <w:r w:rsidRPr="00A40217">
        <w:rPr>
          <w:rFonts w:eastAsiaTheme="minorEastAsia" w:cstheme="minorHAnsi"/>
          <w:b/>
        </w:rPr>
        <w:t xml:space="preserve"> </w:t>
      </w:r>
      <w:r w:rsidRPr="00A40217">
        <w:rPr>
          <w:rFonts w:cstheme="minorHAnsi"/>
        </w:rPr>
        <w:t xml:space="preserve">The three major inputs required for the </w:t>
      </w:r>
      <w:proofErr w:type="gramStart"/>
      <w:r w:rsidRPr="00A40217">
        <w:rPr>
          <w:rFonts w:cstheme="minorHAnsi"/>
        </w:rPr>
        <w:t>above mentioned</w:t>
      </w:r>
      <w:proofErr w:type="gramEnd"/>
      <w:r w:rsidRPr="00A40217">
        <w:rPr>
          <w:rFonts w:cstheme="minorHAnsi"/>
        </w:rPr>
        <w:t xml:space="preserve"> method are relative-risk values (RR) for the current and counterfactual exposure distribution, population-weighted average exposure (P), and background disease burden (B). The following sub-sections describe the </w:t>
      </w:r>
      <w:r w:rsidR="00DD5D23" w:rsidRPr="00A40217">
        <w:rPr>
          <w:rFonts w:cstheme="minorHAnsi"/>
        </w:rPr>
        <w:t>t</w:t>
      </w:r>
      <w:r w:rsidRPr="00A40217">
        <w:rPr>
          <w:rFonts w:cstheme="minorHAnsi"/>
        </w:rPr>
        <w:t>wo inputs— relative risk and background disease burden.</w:t>
      </w:r>
    </w:p>
    <w:p w14:paraId="3228166E" w14:textId="77777777" w:rsidR="00836C5D" w:rsidRPr="00A40217" w:rsidRDefault="00836C5D" w:rsidP="00836C5D">
      <w:pPr>
        <w:rPr>
          <w:rFonts w:cstheme="minorHAnsi"/>
        </w:rPr>
      </w:pPr>
    </w:p>
    <w:p w14:paraId="3CCB4F41" w14:textId="4A439FBB" w:rsidR="00F04D42" w:rsidRPr="00A40217" w:rsidRDefault="00CE64CC" w:rsidP="00A31326">
      <w:pPr>
        <w:pStyle w:val="Heading2"/>
        <w:ind w:left="578" w:hanging="578"/>
        <w:rPr>
          <w:rFonts w:asciiTheme="minorHAnsi" w:hAnsiTheme="minorHAnsi" w:cstheme="minorHAnsi"/>
        </w:rPr>
      </w:pPr>
      <w:bookmarkStart w:id="17" w:name="_Toc85106183"/>
      <w:r w:rsidRPr="00A40217">
        <w:rPr>
          <w:rFonts w:asciiTheme="minorHAnsi" w:hAnsiTheme="minorHAnsi" w:cstheme="minorHAnsi"/>
        </w:rPr>
        <w:t>Health impacts of PM2.5 pollution</w:t>
      </w:r>
      <w:bookmarkEnd w:id="17"/>
    </w:p>
    <w:p w14:paraId="08A3AC56" w14:textId="2352CE70" w:rsidR="00CE64CC" w:rsidRPr="00A40217" w:rsidRDefault="00CE64CC" w:rsidP="00D600D4">
      <w:pPr>
        <w:rPr>
          <w:rFonts w:cstheme="minorHAnsi"/>
        </w:rPr>
      </w:pPr>
      <w:r w:rsidRPr="00A40217">
        <w:rPr>
          <w:rFonts w:cstheme="minorHAnsi"/>
        </w:rPr>
        <w:t xml:space="preserve">We used Integrated Exposure Response functions </w:t>
      </w:r>
      <w:r w:rsidR="000D43A6" w:rsidRPr="00A40217">
        <w:rPr>
          <w:rFonts w:cstheme="minorHAnsi"/>
        </w:rPr>
        <w:t xml:space="preserve">reported by </w:t>
      </w:r>
      <w:r w:rsidR="006215E6">
        <w:t xml:space="preserve">Burnett </w:t>
      </w:r>
      <w:r w:rsidR="006215E6">
        <w:rPr>
          <w:i/>
        </w:rPr>
        <w:t>et al.</w:t>
      </w:r>
      <w:r w:rsidR="006215E6">
        <w:t xml:space="preserve"> (2018) </w:t>
      </w:r>
      <w:r w:rsidR="000D43A6" w:rsidRPr="00A40217">
        <w:rPr>
          <w:rFonts w:cstheme="minorHAnsi"/>
        </w:rPr>
        <w:t xml:space="preserve">to estimate </w:t>
      </w:r>
      <w:r w:rsidRPr="00A40217">
        <w:rPr>
          <w:rFonts w:cstheme="minorHAnsi"/>
        </w:rPr>
        <w:t>health effects of PM</w:t>
      </w:r>
      <w:r w:rsidRPr="00A40217">
        <w:rPr>
          <w:rFonts w:cstheme="minorHAnsi"/>
          <w:vertAlign w:val="subscript"/>
        </w:rPr>
        <w:t>2.5</w:t>
      </w:r>
      <w:r w:rsidRPr="00A40217">
        <w:rPr>
          <w:rFonts w:cstheme="minorHAnsi"/>
        </w:rPr>
        <w:t xml:space="preserve"> through six disease </w:t>
      </w:r>
      <w:proofErr w:type="gramStart"/>
      <w:r w:rsidRPr="00A40217">
        <w:rPr>
          <w:rFonts w:cstheme="minorHAnsi"/>
        </w:rPr>
        <w:t>end-points</w:t>
      </w:r>
      <w:proofErr w:type="gramEnd"/>
      <w:r w:rsidRPr="00A40217">
        <w:rPr>
          <w:rFonts w:cstheme="minorHAnsi"/>
        </w:rPr>
        <w:t xml:space="preserve"> </w:t>
      </w:r>
      <w:r w:rsidR="000D43A6" w:rsidRPr="00A40217">
        <w:rPr>
          <w:rFonts w:cstheme="minorHAnsi"/>
        </w:rPr>
        <w:t xml:space="preserve">that were </w:t>
      </w:r>
      <w:r w:rsidRPr="00A40217">
        <w:rPr>
          <w:rFonts w:cstheme="minorHAnsi"/>
        </w:rPr>
        <w:t xml:space="preserve">used in GBD 2017. </w:t>
      </w:r>
    </w:p>
    <w:p w14:paraId="090D55AA" w14:textId="528DC4FE" w:rsidR="00DC0B01" w:rsidRPr="00A40217" w:rsidRDefault="00FF7B1E" w:rsidP="00DC0B01">
      <w:pPr>
        <w:rPr>
          <w:rFonts w:cstheme="minorHAnsi"/>
        </w:rPr>
      </w:pPr>
      <w:r w:rsidRPr="00A40217">
        <w:rPr>
          <w:rFonts w:cstheme="minorHAnsi"/>
        </w:rPr>
        <w:t xml:space="preserve">For </w:t>
      </w:r>
      <m:oMath>
        <m:r>
          <w:rPr>
            <w:rFonts w:ascii="Cambria Math" w:hAnsi="Cambria Math" w:cstheme="minorHAnsi"/>
          </w:rPr>
          <m:t xml:space="preserve">z &lt; </m:t>
        </m:r>
        <m:sSub>
          <m:sSubPr>
            <m:ctrlPr>
              <w:rPr>
                <w:rFonts w:ascii="Cambria Math" w:hAnsi="Cambria Math" w:cstheme="minorHAnsi"/>
                <w:i/>
              </w:rPr>
            </m:ctrlPr>
          </m:sSubPr>
          <m:e>
            <m:r>
              <w:rPr>
                <w:rFonts w:ascii="Cambria Math" w:hAnsi="Cambria Math" w:cstheme="minorHAnsi"/>
              </w:rPr>
              <m:t>z</m:t>
            </m:r>
          </m:e>
          <m:sub>
            <m:r>
              <w:rPr>
                <w:rFonts w:ascii="Cambria Math" w:hAnsi="Cambria Math" w:cstheme="minorHAnsi"/>
              </w:rPr>
              <m:t>cf</m:t>
            </m:r>
          </m:sub>
        </m:sSub>
      </m:oMath>
      <w:r w:rsidR="000D43A6" w:rsidRPr="00A40217">
        <w:rPr>
          <w:rFonts w:eastAsiaTheme="minorEastAsia" w:cstheme="minorHAnsi"/>
        </w:rPr>
        <w:t xml:space="preserve">, </w:t>
      </w:r>
      <w:r w:rsidR="000D43A6" w:rsidRPr="00A40217">
        <w:rPr>
          <w:rFonts w:eastAsiaTheme="minorEastAsia" w:cstheme="minorHAnsi"/>
        </w:rPr>
        <w:tab/>
      </w:r>
      <m:oMath>
        <m:r>
          <w:rPr>
            <w:rFonts w:ascii="Cambria Math" w:hAnsi="Cambria Math" w:cstheme="minorHAnsi"/>
          </w:rPr>
          <m:t xml:space="preserve">RR </m:t>
        </m:r>
        <m:d>
          <m:dPr>
            <m:ctrlPr>
              <w:rPr>
                <w:rFonts w:ascii="Cambria Math" w:hAnsi="Cambria Math" w:cstheme="minorHAnsi"/>
                <w:i/>
              </w:rPr>
            </m:ctrlPr>
          </m:dPr>
          <m:e>
            <m:r>
              <w:rPr>
                <w:rFonts w:ascii="Cambria Math" w:hAnsi="Cambria Math" w:cstheme="minorHAnsi"/>
              </w:rPr>
              <m:t>z</m:t>
            </m:r>
          </m:e>
        </m:d>
        <m:r>
          <w:rPr>
            <w:rFonts w:ascii="Cambria Math" w:hAnsi="Cambria Math" w:cstheme="minorHAnsi"/>
          </w:rPr>
          <m:t>= 1</m:t>
        </m:r>
      </m:oMath>
    </w:p>
    <w:p w14:paraId="503DAFAC" w14:textId="5B9BF00A" w:rsidR="00DC0B01" w:rsidRPr="00A40217" w:rsidRDefault="00DC0B01" w:rsidP="00D600D4">
      <w:pPr>
        <w:rPr>
          <w:rFonts w:cstheme="minorHAnsi"/>
        </w:rPr>
      </w:pPr>
      <w:r w:rsidRPr="00A40217">
        <w:rPr>
          <w:rFonts w:cstheme="minorHAnsi"/>
        </w:rPr>
        <w:t xml:space="preserve">For </w:t>
      </w:r>
      <m:oMath>
        <m:r>
          <w:rPr>
            <w:rFonts w:ascii="Cambria Math" w:hAnsi="Cambria Math" w:cstheme="minorHAnsi"/>
          </w:rPr>
          <m:t xml:space="preserve">z&gt; </m:t>
        </m:r>
        <m:sSub>
          <m:sSubPr>
            <m:ctrlPr>
              <w:rPr>
                <w:rFonts w:ascii="Cambria Math" w:hAnsi="Cambria Math" w:cstheme="minorHAnsi"/>
                <w:i/>
              </w:rPr>
            </m:ctrlPr>
          </m:sSubPr>
          <m:e>
            <m:r>
              <w:rPr>
                <w:rFonts w:ascii="Cambria Math" w:hAnsi="Cambria Math" w:cstheme="minorHAnsi"/>
              </w:rPr>
              <m:t>z</m:t>
            </m:r>
          </m:e>
          <m:sub>
            <m:r>
              <w:rPr>
                <w:rFonts w:ascii="Cambria Math" w:hAnsi="Cambria Math" w:cstheme="minorHAnsi"/>
              </w:rPr>
              <m:t>cf</m:t>
            </m:r>
          </m:sub>
        </m:sSub>
      </m:oMath>
      <w:r w:rsidR="000D43A6" w:rsidRPr="00A40217">
        <w:rPr>
          <w:rFonts w:eastAsiaTheme="minorEastAsia" w:cstheme="minorHAnsi"/>
        </w:rPr>
        <w:t xml:space="preserve">,   </w:t>
      </w:r>
      <w:r w:rsidR="000D43A6" w:rsidRPr="00A40217">
        <w:rPr>
          <w:rFonts w:eastAsiaTheme="minorEastAsia" w:cstheme="minorHAnsi"/>
        </w:rPr>
        <w:tab/>
      </w:r>
      <m:oMath>
        <m:r>
          <w:rPr>
            <w:rFonts w:ascii="Cambria Math" w:hAnsi="Cambria Math" w:cstheme="minorHAnsi"/>
          </w:rPr>
          <m:t xml:space="preserve">RR </m:t>
        </m:r>
        <m:d>
          <m:dPr>
            <m:ctrlPr>
              <w:rPr>
                <w:rFonts w:ascii="Cambria Math" w:hAnsi="Cambria Math" w:cstheme="minorHAnsi"/>
                <w:i/>
              </w:rPr>
            </m:ctrlPr>
          </m:dPr>
          <m:e>
            <m:r>
              <w:rPr>
                <w:rFonts w:ascii="Cambria Math" w:hAnsi="Cambria Math" w:cstheme="minorHAnsi"/>
              </w:rPr>
              <m:t>z</m:t>
            </m:r>
          </m:e>
        </m:d>
        <m:r>
          <w:rPr>
            <w:rFonts w:ascii="Cambria Math" w:hAnsi="Cambria Math" w:cstheme="minorHAnsi"/>
          </w:rPr>
          <m:t>=1+α{1-</m:t>
        </m:r>
        <m:r>
          <m:rPr>
            <m:sty m:val="p"/>
          </m:rPr>
          <w:rPr>
            <w:rFonts w:ascii="Cambria Math" w:hAnsi="Cambria Math" w:cstheme="minorHAnsi"/>
          </w:rPr>
          <m:t>exp⁡[</m:t>
        </m:r>
        <m:r>
          <w:rPr>
            <w:rFonts w:ascii="Cambria Math" w:hAnsi="Cambria Math" w:cstheme="minorHAnsi"/>
          </w:rPr>
          <m:t>-γ</m:t>
        </m:r>
        <m:sSup>
          <m:sSupPr>
            <m:ctrlPr>
              <w:rPr>
                <w:rFonts w:ascii="Cambria Math" w:hAnsi="Cambria Math" w:cstheme="minorHAnsi"/>
                <w:i/>
              </w:rPr>
            </m:ctrlPr>
          </m:sSupPr>
          <m:e>
            <m:r>
              <w:rPr>
                <w:rFonts w:ascii="Cambria Math" w:hAnsi="Cambria Math" w:cstheme="minorHAnsi"/>
              </w:rPr>
              <m:t>(z-</m:t>
            </m:r>
            <m:sSub>
              <m:sSubPr>
                <m:ctrlPr>
                  <w:rPr>
                    <w:rFonts w:ascii="Cambria Math" w:hAnsi="Cambria Math" w:cstheme="minorHAnsi"/>
                    <w:i/>
                  </w:rPr>
                </m:ctrlPr>
              </m:sSubPr>
              <m:e>
                <m:r>
                  <w:rPr>
                    <w:rFonts w:ascii="Cambria Math" w:hAnsi="Cambria Math" w:cstheme="minorHAnsi"/>
                  </w:rPr>
                  <m:t>z</m:t>
                </m:r>
              </m:e>
              <m:sub>
                <m:r>
                  <w:rPr>
                    <w:rFonts w:ascii="Cambria Math" w:hAnsi="Cambria Math" w:cstheme="minorHAnsi"/>
                  </w:rPr>
                  <m:t>cf</m:t>
                </m:r>
              </m:sub>
            </m:sSub>
            <m:r>
              <w:rPr>
                <w:rFonts w:ascii="Cambria Math" w:hAnsi="Cambria Math" w:cstheme="minorHAnsi"/>
              </w:rPr>
              <m:t>)</m:t>
            </m:r>
          </m:e>
          <m:sup>
            <m:r>
              <w:rPr>
                <w:rFonts w:ascii="Cambria Math" w:hAnsi="Cambria Math" w:cstheme="minorHAnsi"/>
              </w:rPr>
              <m:t>δ</m:t>
            </m:r>
          </m:sup>
        </m:sSup>
      </m:oMath>
      <w:r w:rsidRPr="00A40217">
        <w:rPr>
          <w:rFonts w:eastAsiaTheme="minorEastAsia" w:cstheme="minorHAnsi"/>
        </w:rPr>
        <w:t>]}</w:t>
      </w:r>
    </w:p>
    <w:p w14:paraId="59D0E0C1" w14:textId="61BE20DA" w:rsidR="00111025" w:rsidRPr="00A40217" w:rsidRDefault="000D43A6" w:rsidP="00D600D4">
      <w:pPr>
        <w:rPr>
          <w:rFonts w:cstheme="minorHAnsi"/>
        </w:rPr>
      </w:pPr>
      <w:r w:rsidRPr="00A40217">
        <w:rPr>
          <w:rFonts w:cstheme="minorHAnsi"/>
        </w:rPr>
        <w:t>where z is the exposure to PM</w:t>
      </w:r>
      <w:r w:rsidRPr="00A40217">
        <w:rPr>
          <w:rFonts w:cstheme="minorHAnsi"/>
          <w:vertAlign w:val="subscript"/>
        </w:rPr>
        <w:t>2.5</w:t>
      </w:r>
      <w:r w:rsidRPr="00A40217">
        <w:rPr>
          <w:rFonts w:cstheme="minorHAnsi"/>
        </w:rPr>
        <w:t xml:space="preserve"> in</w:t>
      </w:r>
      <w:r w:rsidR="000113F6" w:rsidRPr="00A40217">
        <w:rPr>
          <w:rFonts w:cstheme="minorHAnsi"/>
        </w:rPr>
        <w:t xml:space="preserve"> µg/m</w:t>
      </w:r>
      <w:r w:rsidR="000113F6" w:rsidRPr="00A40217">
        <w:rPr>
          <w:rFonts w:cstheme="minorHAnsi"/>
          <w:vertAlign w:val="superscript"/>
        </w:rPr>
        <w:t>3</w:t>
      </w:r>
      <w:r w:rsidR="000113F6" w:rsidRPr="00A40217">
        <w:rPr>
          <w:rFonts w:cstheme="minorHAnsi"/>
        </w:rPr>
        <w:t xml:space="preserve"> </w:t>
      </w:r>
      <w:r w:rsidRPr="00A40217">
        <w:rPr>
          <w:rFonts w:cstheme="minorHAnsi"/>
        </w:rPr>
        <w:t xml:space="preserve">and </w:t>
      </w:r>
      <m:oMath>
        <m:sSub>
          <m:sSubPr>
            <m:ctrlPr>
              <w:rPr>
                <w:rFonts w:ascii="Cambria Math" w:hAnsi="Cambria Math" w:cstheme="minorHAnsi"/>
                <w:i/>
              </w:rPr>
            </m:ctrlPr>
          </m:sSubPr>
          <m:e>
            <m:r>
              <w:rPr>
                <w:rFonts w:ascii="Cambria Math" w:hAnsi="Cambria Math" w:cstheme="minorHAnsi"/>
              </w:rPr>
              <m:t>z</m:t>
            </m:r>
          </m:e>
          <m:sub>
            <m:r>
              <w:rPr>
                <w:rFonts w:ascii="Cambria Math" w:hAnsi="Cambria Math" w:cstheme="minorHAnsi"/>
              </w:rPr>
              <m:t>cf</m:t>
            </m:r>
          </m:sub>
        </m:sSub>
      </m:oMath>
      <w:r w:rsidRPr="00A40217">
        <w:rPr>
          <w:rFonts w:cstheme="minorHAnsi"/>
        </w:rPr>
        <w:t xml:space="preserve"> is the counterfactual concentration below which </w:t>
      </w:r>
      <w:r w:rsidR="000113F6" w:rsidRPr="00A40217">
        <w:rPr>
          <w:rFonts w:cstheme="minorHAnsi"/>
        </w:rPr>
        <w:t>there is no additional risk</w:t>
      </w:r>
      <w:r w:rsidRPr="00A40217">
        <w:rPr>
          <w:rFonts w:cstheme="minorHAnsi"/>
        </w:rPr>
        <w:t xml:space="preserve">. </w:t>
      </w:r>
      <w:r w:rsidR="00FE2E8C" w:rsidRPr="00A40217">
        <w:rPr>
          <w:rFonts w:cstheme="minorHAnsi"/>
        </w:rPr>
        <w:t>The parameter</w:t>
      </w:r>
      <w:r w:rsidRPr="00A40217">
        <w:rPr>
          <w:rFonts w:cstheme="minorHAnsi"/>
        </w:rPr>
        <w:t xml:space="preserve"> δ</w:t>
      </w:r>
      <w:r w:rsidR="00FE2E8C" w:rsidRPr="00A40217">
        <w:rPr>
          <w:rFonts w:cstheme="minorHAnsi"/>
        </w:rPr>
        <w:t xml:space="preserve"> as a power to PM2.5 concentrations enables</w:t>
      </w:r>
      <w:r w:rsidRPr="00A40217">
        <w:rPr>
          <w:rFonts w:cstheme="minorHAnsi"/>
        </w:rPr>
        <w:t xml:space="preserve"> predict</w:t>
      </w:r>
      <w:r w:rsidR="00FE2E8C" w:rsidRPr="00A40217">
        <w:rPr>
          <w:rFonts w:cstheme="minorHAnsi"/>
        </w:rPr>
        <w:t>ion of</w:t>
      </w:r>
      <w:r w:rsidRPr="00A40217">
        <w:rPr>
          <w:rFonts w:cstheme="minorHAnsi"/>
        </w:rPr>
        <w:t xml:space="preserve"> risk over a very large range of concentrations. Further,</w:t>
      </w:r>
      <w:r w:rsidR="004254A8" w:rsidRPr="00A40217">
        <w:rPr>
          <w:rFonts w:cstheme="minorHAnsi"/>
        </w:rPr>
        <w:t xml:space="preserve"> </w:t>
      </w:r>
      <w:r w:rsidRPr="00A40217">
        <w:rPr>
          <w:rFonts w:cstheme="minorHAnsi"/>
        </w:rPr>
        <w:t>RR (</w:t>
      </w:r>
      <m:oMath>
        <m:sSub>
          <m:sSubPr>
            <m:ctrlPr>
              <w:rPr>
                <w:rFonts w:ascii="Cambria Math" w:hAnsi="Cambria Math" w:cstheme="minorHAnsi"/>
                <w:i/>
              </w:rPr>
            </m:ctrlPr>
          </m:sSubPr>
          <m:e>
            <m:r>
              <w:rPr>
                <w:rFonts w:ascii="Cambria Math" w:hAnsi="Cambria Math" w:cstheme="minorHAnsi"/>
              </w:rPr>
              <m:t>z</m:t>
            </m:r>
          </m:e>
          <m:sub>
            <m:r>
              <w:rPr>
                <w:rFonts w:ascii="Cambria Math" w:hAnsi="Cambria Math" w:cstheme="minorHAnsi"/>
              </w:rPr>
              <m:t>cf</m:t>
            </m:r>
          </m:sub>
        </m:sSub>
      </m:oMath>
      <w:r w:rsidRPr="00A40217">
        <w:rPr>
          <w:rFonts w:cstheme="minorHAnsi"/>
        </w:rPr>
        <w:t xml:space="preserve">+ 1) approximates 1 + </w:t>
      </w:r>
      <m:oMath>
        <m:r>
          <w:rPr>
            <w:rFonts w:ascii="Cambria Math" w:hAnsi="Cambria Math" w:cstheme="minorHAnsi"/>
          </w:rPr>
          <m:t>αγ</m:t>
        </m:r>
      </m:oMath>
      <w:r w:rsidRPr="00A40217">
        <w:rPr>
          <w:rFonts w:cstheme="minorHAnsi"/>
        </w:rPr>
        <w:t xml:space="preserve">. Thus, </w:t>
      </w:r>
      <m:oMath>
        <m:r>
          <w:rPr>
            <w:rFonts w:ascii="Cambria Math" w:hAnsi="Cambria Math" w:cstheme="minorHAnsi"/>
          </w:rPr>
          <m:t>γ</m:t>
        </m:r>
      </m:oMath>
      <w:r w:rsidRPr="00A40217">
        <w:rPr>
          <w:rFonts w:cstheme="minorHAnsi"/>
        </w:rPr>
        <w:t xml:space="preserve"> = [RR (</w:t>
      </w:r>
      <m:oMath>
        <m:sSub>
          <m:sSubPr>
            <m:ctrlPr>
              <w:rPr>
                <w:rFonts w:ascii="Cambria Math" w:hAnsi="Cambria Math" w:cstheme="minorHAnsi"/>
                <w:i/>
              </w:rPr>
            </m:ctrlPr>
          </m:sSubPr>
          <m:e>
            <m:r>
              <w:rPr>
                <w:rFonts w:ascii="Cambria Math" w:hAnsi="Cambria Math" w:cstheme="minorHAnsi"/>
              </w:rPr>
              <m:t>z</m:t>
            </m:r>
          </m:e>
          <m:sub>
            <m:r>
              <w:rPr>
                <w:rFonts w:ascii="Cambria Math" w:hAnsi="Cambria Math" w:cstheme="minorHAnsi"/>
              </w:rPr>
              <m:t>cf</m:t>
            </m:r>
          </m:sub>
        </m:sSub>
      </m:oMath>
      <w:r w:rsidRPr="00A40217">
        <w:rPr>
          <w:rFonts w:cstheme="minorHAnsi"/>
        </w:rPr>
        <w:t>+ 1) – 1]</w:t>
      </w:r>
      <w:proofErr w:type="gramStart"/>
      <w:r w:rsidRPr="00A40217">
        <w:rPr>
          <w:rFonts w:cstheme="minorHAnsi"/>
        </w:rPr>
        <w:t>/[</w:t>
      </w:r>
      <w:proofErr w:type="gramEnd"/>
      <w:r w:rsidRPr="00A40217">
        <w:rPr>
          <w:rFonts w:cstheme="minorHAnsi"/>
        </w:rPr>
        <w:t>RR (∞) – 1] can be inter</w:t>
      </w:r>
      <w:r w:rsidRPr="00A40217">
        <w:rPr>
          <w:rFonts w:cstheme="minorHAnsi"/>
        </w:rPr>
        <w:softHyphen/>
        <w:t xml:space="preserve">preted as the ratio of the RR at low-to-high exposures. </w:t>
      </w:r>
      <w:r w:rsidR="000113F6" w:rsidRPr="00A40217">
        <w:rPr>
          <w:rFonts w:cstheme="minorHAnsi"/>
        </w:rPr>
        <w:t xml:space="preserve">For </w:t>
      </w:r>
      <w:r w:rsidR="000113F6" w:rsidRPr="00A40217">
        <w:rPr>
          <w:rFonts w:cstheme="minorHAnsi"/>
        </w:rPr>
        <w:lastRenderedPageBreak/>
        <w:t xml:space="preserve">each of the four parameters, we used a range of values that represent the confidence interval of dose-response functions. </w:t>
      </w:r>
      <w:r w:rsidRPr="00A40217">
        <w:rPr>
          <w:rFonts w:cstheme="minorHAnsi"/>
        </w:rPr>
        <w:t>Out of the six disease endpoints, dose-response are age-specific</w:t>
      </w:r>
      <w:r w:rsidR="000113F6" w:rsidRPr="00A40217">
        <w:rPr>
          <w:rFonts w:cstheme="minorHAnsi"/>
        </w:rPr>
        <w:t xml:space="preserve"> (5-year age groups)</w:t>
      </w:r>
      <w:r w:rsidRPr="00A40217">
        <w:rPr>
          <w:rFonts w:cstheme="minorHAnsi"/>
        </w:rPr>
        <w:t xml:space="preserve"> for </w:t>
      </w:r>
      <w:proofErr w:type="gramStart"/>
      <w:r w:rsidRPr="00A40217">
        <w:rPr>
          <w:rFonts w:cstheme="minorHAnsi"/>
        </w:rPr>
        <w:t>Ischemic heart disease</w:t>
      </w:r>
      <w:proofErr w:type="gramEnd"/>
      <w:r w:rsidRPr="00A40217">
        <w:rPr>
          <w:rFonts w:cstheme="minorHAnsi"/>
        </w:rPr>
        <w:t xml:space="preserve"> (IHD) and Ischemic stroke. While, for the other four dose responses are common across age groups—Lower respiratory infections (LRI), Lung cancer, Chronic obstructive pulmonary disease (COPD) and Diabetes. </w:t>
      </w:r>
    </w:p>
    <w:p w14:paraId="428419D1" w14:textId="43F9E66D" w:rsidR="00CE64CC" w:rsidRPr="00A40217" w:rsidRDefault="00CE64CC" w:rsidP="00A31326">
      <w:pPr>
        <w:pStyle w:val="Heading2"/>
        <w:ind w:left="578" w:hanging="578"/>
        <w:rPr>
          <w:rFonts w:asciiTheme="minorHAnsi" w:hAnsiTheme="minorHAnsi" w:cstheme="minorHAnsi"/>
        </w:rPr>
      </w:pPr>
      <w:bookmarkStart w:id="18" w:name="_Toc85106184"/>
      <w:r w:rsidRPr="00A40217">
        <w:rPr>
          <w:rFonts w:asciiTheme="minorHAnsi" w:hAnsiTheme="minorHAnsi" w:cstheme="minorHAnsi"/>
        </w:rPr>
        <w:t xml:space="preserve">Health impacts of </w:t>
      </w:r>
      <w:r w:rsidR="0000489C" w:rsidRPr="00A40217">
        <w:rPr>
          <w:rFonts w:asciiTheme="minorHAnsi" w:hAnsiTheme="minorHAnsi" w:cstheme="minorHAnsi"/>
        </w:rPr>
        <w:t>travel physical activity</w:t>
      </w:r>
      <w:bookmarkEnd w:id="18"/>
    </w:p>
    <w:p w14:paraId="25101594" w14:textId="4D3F7089" w:rsidR="00111025" w:rsidRPr="00A40217" w:rsidRDefault="00111025" w:rsidP="00111025">
      <w:pPr>
        <w:spacing w:after="0"/>
        <w:rPr>
          <w:rFonts w:cstheme="minorHAnsi"/>
        </w:rPr>
      </w:pPr>
      <w:r w:rsidRPr="00A40217">
        <w:rPr>
          <w:rFonts w:cstheme="minorHAnsi"/>
        </w:rPr>
        <w:t>The relative risk for a given exposure of physical activity is calculated as given in equation below:</w:t>
      </w: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015"/>
      </w:tblGrid>
      <w:tr w:rsidR="00111025" w:rsidRPr="00A40217" w14:paraId="10C64548" w14:textId="77777777" w:rsidTr="00111025">
        <w:trPr>
          <w:trHeight w:val="450"/>
        </w:trPr>
        <w:tc>
          <w:tcPr>
            <w:tcW w:w="8075" w:type="dxa"/>
          </w:tcPr>
          <w:p w14:paraId="7518944C" w14:textId="77777777" w:rsidR="00111025" w:rsidRPr="00A40217" w:rsidRDefault="00111025" w:rsidP="00111025">
            <w:pPr>
              <w:jc w:val="center"/>
              <w:rPr>
                <w:rFonts w:cstheme="minorHAnsi"/>
              </w:rPr>
            </w:pPr>
            <w:r w:rsidRPr="00A40217">
              <w:rPr>
                <w:rFonts w:cstheme="minorHAnsi"/>
                <w:sz w:val="32"/>
              </w:rPr>
              <w:tab/>
            </w:r>
            <m:oMath>
              <m:sSup>
                <m:sSupPr>
                  <m:ctrlPr>
                    <w:rPr>
                      <w:rFonts w:ascii="Cambria Math" w:hAnsi="Cambria Math" w:cstheme="minorHAnsi"/>
                      <w:i/>
                    </w:rPr>
                  </m:ctrlPr>
                </m:sSupPr>
                <m:e>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RR(x)=(RR</m:t>
                          </m:r>
                        </m:e>
                        <m:sub>
                          <m:r>
                            <w:rPr>
                              <w:rFonts w:ascii="Cambria Math" w:hAnsi="Cambria Math" w:cstheme="minorHAnsi"/>
                            </w:rPr>
                            <m:t>o</m:t>
                          </m:r>
                        </m:sub>
                      </m:sSub>
                    </m:e>
                    <m:sup>
                      <m:f>
                        <m:fPr>
                          <m:ctrlPr>
                            <w:rPr>
                              <w:rFonts w:ascii="Cambria Math" w:hAnsi="Cambria Math" w:cstheme="minorHAnsi"/>
                              <w:i/>
                            </w:rPr>
                          </m:ctrlPr>
                        </m:fPr>
                        <m:num>
                          <m:r>
                            <w:rPr>
                              <w:rFonts w:ascii="Cambria Math" w:hAnsi="Cambria Math" w:cstheme="minorHAnsi"/>
                            </w:rPr>
                            <m:t>1</m:t>
                          </m:r>
                        </m:num>
                        <m:den>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o</m:t>
                              </m:r>
                            </m:sub>
                          </m:sSub>
                        </m:den>
                      </m:f>
                    </m:sup>
                  </m:sSup>
                  <m:r>
                    <w:rPr>
                      <w:rFonts w:ascii="Cambria Math" w:hAnsi="Cambria Math" w:cstheme="minorHAnsi"/>
                    </w:rPr>
                    <m:t>)</m:t>
                  </m:r>
                </m:e>
                <m:sup>
                  <m:r>
                    <w:rPr>
                      <w:rFonts w:ascii="Cambria Math" w:hAnsi="Cambria Math" w:cstheme="minorHAnsi"/>
                    </w:rPr>
                    <m:t>PA(x)</m:t>
                  </m:r>
                </m:sup>
              </m:sSup>
            </m:oMath>
          </w:p>
        </w:tc>
        <w:tc>
          <w:tcPr>
            <w:tcW w:w="1015" w:type="dxa"/>
          </w:tcPr>
          <w:p w14:paraId="4AFE1707" w14:textId="18D204E1" w:rsidR="00111025" w:rsidRPr="00A40217" w:rsidRDefault="00111025" w:rsidP="00111025">
            <w:pPr>
              <w:jc w:val="right"/>
              <w:rPr>
                <w:rFonts w:cstheme="minorHAnsi"/>
              </w:rPr>
            </w:pPr>
          </w:p>
        </w:tc>
      </w:tr>
    </w:tbl>
    <w:p w14:paraId="215C978D" w14:textId="7D7FB103" w:rsidR="00111025" w:rsidRPr="00A40217" w:rsidRDefault="00111025" w:rsidP="00111025">
      <w:pPr>
        <w:spacing w:after="200"/>
        <w:rPr>
          <w:rFonts w:cstheme="minorHAnsi"/>
        </w:rPr>
      </w:pPr>
      <w:r w:rsidRPr="00A40217">
        <w:rPr>
          <w:rFonts w:cstheme="minorHAnsi"/>
        </w:rPr>
        <w:t xml:space="preserve">where, </w:t>
      </w:r>
      <w:r w:rsidRPr="00A40217">
        <w:rPr>
          <w:rFonts w:cstheme="minorHAnsi"/>
          <w:i/>
        </w:rPr>
        <w:t>RR(x)</w:t>
      </w:r>
      <w:r w:rsidRPr="00A40217">
        <w:rPr>
          <w:rFonts w:cstheme="minorHAnsi"/>
        </w:rPr>
        <w:t xml:space="preserve"> is the relative risk at exposure </w:t>
      </w:r>
      <w:r w:rsidRPr="00A40217">
        <w:rPr>
          <w:rFonts w:cstheme="minorHAnsi"/>
          <w:i/>
        </w:rPr>
        <w:t>PA(x)</w:t>
      </w:r>
      <w:r w:rsidRPr="00A40217">
        <w:rPr>
          <w:rFonts w:cstheme="minorHAnsi"/>
        </w:rPr>
        <w:t xml:space="preserve">, </w:t>
      </w:r>
      <w:proofErr w:type="spellStart"/>
      <w:r w:rsidRPr="00A40217">
        <w:rPr>
          <w:rFonts w:cstheme="minorHAnsi"/>
          <w:i/>
        </w:rPr>
        <w:t>RR</w:t>
      </w:r>
      <w:r w:rsidRPr="00A40217">
        <w:rPr>
          <w:rFonts w:cstheme="minorHAnsi"/>
          <w:i/>
          <w:vertAlign w:val="subscript"/>
        </w:rPr>
        <w:t>o</w:t>
      </w:r>
      <w:proofErr w:type="spellEnd"/>
      <w:r w:rsidRPr="00A40217">
        <w:rPr>
          <w:rFonts w:cstheme="minorHAnsi"/>
        </w:rPr>
        <w:t xml:space="preserve"> is the relative risk for all-cause mortality corresponding to </w:t>
      </w:r>
      <w:proofErr w:type="spellStart"/>
      <w:r w:rsidRPr="00A40217">
        <w:rPr>
          <w:rFonts w:cstheme="minorHAnsi"/>
          <w:i/>
        </w:rPr>
        <w:t>PA</w:t>
      </w:r>
      <w:r w:rsidRPr="00A40217">
        <w:rPr>
          <w:rFonts w:cstheme="minorHAnsi"/>
          <w:i/>
          <w:vertAlign w:val="subscript"/>
        </w:rPr>
        <w:t>o</w:t>
      </w:r>
      <w:proofErr w:type="spellEnd"/>
      <w:r w:rsidRPr="00A40217">
        <w:rPr>
          <w:rFonts w:cstheme="minorHAnsi"/>
          <w:i/>
        </w:rPr>
        <w:t>, PA(x)</w:t>
      </w:r>
      <w:r w:rsidRPr="00A40217">
        <w:rPr>
          <w:rFonts w:cstheme="minorHAnsi"/>
        </w:rPr>
        <w:t xml:space="preserve"> is the sex-specific observed exposure for walking and cycling (unit MET-h/week), </w:t>
      </w:r>
      <w:proofErr w:type="spellStart"/>
      <w:r w:rsidRPr="00A40217">
        <w:rPr>
          <w:rFonts w:cstheme="minorHAnsi"/>
          <w:i/>
        </w:rPr>
        <w:t>PA</w:t>
      </w:r>
      <w:r w:rsidRPr="00A40217">
        <w:rPr>
          <w:rFonts w:cstheme="minorHAnsi"/>
          <w:i/>
          <w:vertAlign w:val="subscript"/>
        </w:rPr>
        <w:t>o</w:t>
      </w:r>
      <w:proofErr w:type="spellEnd"/>
      <w:r w:rsidRPr="00A40217">
        <w:rPr>
          <w:rFonts w:cstheme="minorHAnsi"/>
        </w:rPr>
        <w:t xml:space="preserve"> is the exposure increment to which the </w:t>
      </w:r>
      <w:proofErr w:type="spellStart"/>
      <w:r w:rsidRPr="00A40217">
        <w:rPr>
          <w:rFonts w:cstheme="minorHAnsi"/>
          <w:i/>
        </w:rPr>
        <w:t>RR</w:t>
      </w:r>
      <w:r w:rsidRPr="00A40217">
        <w:rPr>
          <w:rFonts w:cstheme="minorHAnsi"/>
          <w:i/>
          <w:vertAlign w:val="subscript"/>
        </w:rPr>
        <w:t>o</w:t>
      </w:r>
      <w:proofErr w:type="spellEnd"/>
      <w:r w:rsidRPr="00A40217">
        <w:rPr>
          <w:rFonts w:cstheme="minorHAnsi"/>
        </w:rPr>
        <w:t xml:space="preserve"> is related. </w:t>
      </w:r>
      <w:r w:rsidR="002B7A26" w:rsidRPr="00A40217">
        <w:rPr>
          <w:rFonts w:cstheme="minorHAnsi"/>
        </w:rPr>
        <w:t xml:space="preserve">We modelled health impacts due to physical activity for </w:t>
      </w:r>
      <w:r w:rsidR="00FC241F" w:rsidRPr="00A40217">
        <w:rPr>
          <w:rFonts w:cstheme="minorHAnsi"/>
        </w:rPr>
        <w:t xml:space="preserve">all-cause mortality and eight disease </w:t>
      </w:r>
      <w:proofErr w:type="gramStart"/>
      <w:r w:rsidR="00FC241F" w:rsidRPr="00A40217">
        <w:rPr>
          <w:rFonts w:cstheme="minorHAnsi"/>
        </w:rPr>
        <w:t>end-points</w:t>
      </w:r>
      <w:proofErr w:type="gramEnd"/>
      <w:r w:rsidR="002B7A26" w:rsidRPr="00A40217">
        <w:rPr>
          <w:rFonts w:cstheme="minorHAnsi"/>
        </w:rPr>
        <w:t xml:space="preserve"> </w:t>
      </w:r>
      <w:r w:rsidR="00803ACB" w:rsidRPr="00A40217">
        <w:rPr>
          <w:rFonts w:cstheme="minorHAnsi"/>
        </w:rPr>
        <w:t>based on the method used by Gotschi et al. (2015).</w:t>
      </w:r>
      <w:r w:rsidRPr="00A40217">
        <w:rPr>
          <w:rFonts w:cstheme="minorHAnsi"/>
        </w:rPr>
        <w:t xml:space="preserve">  </w:t>
      </w:r>
      <w:r w:rsidR="009161CE" w:rsidRPr="00A40217">
        <w:rPr>
          <w:rFonts w:cstheme="minorHAnsi"/>
        </w:rPr>
        <w:t>For prevented health burden due to physical activity, RR values were calculated for total physical activity and for physical activity without active travel and used in the CRA equation as discussed in the previous section.</w:t>
      </w:r>
    </w:p>
    <w:p w14:paraId="782EBF21" w14:textId="35AA54FC" w:rsidR="00111025" w:rsidRPr="00A40217" w:rsidRDefault="00111025" w:rsidP="00111025">
      <w:pPr>
        <w:pStyle w:val="Caption"/>
        <w:keepNext/>
        <w:rPr>
          <w:rFonts w:asciiTheme="minorHAnsi" w:hAnsiTheme="minorHAnsi" w:cstheme="minorHAnsi"/>
        </w:rPr>
      </w:pPr>
      <w:bookmarkStart w:id="19" w:name="_Ref428360424"/>
      <w:bookmarkStart w:id="20" w:name="_Toc476818645"/>
      <w:r w:rsidRPr="00A40217">
        <w:rPr>
          <w:rFonts w:asciiTheme="minorHAnsi" w:hAnsiTheme="minorHAnsi" w:cstheme="minorHAnsi"/>
        </w:rPr>
        <w:t xml:space="preserve">Table </w:t>
      </w:r>
      <w:bookmarkEnd w:id="19"/>
      <w:r w:rsidR="009161CE" w:rsidRPr="00A40217">
        <w:rPr>
          <w:rFonts w:asciiTheme="minorHAnsi" w:hAnsiTheme="minorHAnsi" w:cstheme="minorHAnsi"/>
        </w:rPr>
        <w:t>5:</w:t>
      </w:r>
      <w:r w:rsidRPr="00A40217">
        <w:rPr>
          <w:rFonts w:asciiTheme="minorHAnsi" w:hAnsiTheme="minorHAnsi" w:cstheme="minorHAnsi"/>
        </w:rPr>
        <w:t xml:space="preserve"> Dose-response function coefficients for travel-related physical activity</w:t>
      </w:r>
      <w:bookmarkEnd w:id="20"/>
    </w:p>
    <w:tbl>
      <w:tblPr>
        <w:tblStyle w:val="TableGrid"/>
        <w:tblW w:w="0" w:type="auto"/>
        <w:tblLook w:val="04A0" w:firstRow="1" w:lastRow="0" w:firstColumn="1" w:lastColumn="0" w:noHBand="0" w:noVBand="1"/>
      </w:tblPr>
      <w:tblGrid>
        <w:gridCol w:w="1975"/>
        <w:gridCol w:w="1620"/>
        <w:gridCol w:w="2070"/>
        <w:gridCol w:w="2127"/>
      </w:tblGrid>
      <w:tr w:rsidR="002B7A26" w:rsidRPr="00A40217" w14:paraId="0FB85A66" w14:textId="77777777" w:rsidTr="00803ACB">
        <w:trPr>
          <w:trHeight w:hRule="exact" w:val="658"/>
        </w:trPr>
        <w:tc>
          <w:tcPr>
            <w:tcW w:w="1975" w:type="dxa"/>
          </w:tcPr>
          <w:p w14:paraId="34675D0F" w14:textId="77777777" w:rsidR="002B7A26" w:rsidRPr="00A40217" w:rsidRDefault="002B7A26" w:rsidP="00111025">
            <w:pPr>
              <w:rPr>
                <w:rFonts w:cstheme="minorHAnsi"/>
                <w:b/>
                <w:sz w:val="16"/>
                <w:szCs w:val="20"/>
              </w:rPr>
            </w:pPr>
            <w:r w:rsidRPr="00A40217">
              <w:rPr>
                <w:rFonts w:cstheme="minorHAnsi"/>
                <w:b/>
                <w:sz w:val="16"/>
                <w:szCs w:val="20"/>
              </w:rPr>
              <w:t>Health Endpoint</w:t>
            </w:r>
          </w:p>
        </w:tc>
        <w:tc>
          <w:tcPr>
            <w:tcW w:w="1620" w:type="dxa"/>
          </w:tcPr>
          <w:p w14:paraId="7C69DCE4" w14:textId="77777777" w:rsidR="002B7A26" w:rsidRPr="00A40217" w:rsidRDefault="002B7A26" w:rsidP="00111025">
            <w:pPr>
              <w:rPr>
                <w:rFonts w:cstheme="minorHAnsi"/>
                <w:b/>
                <w:sz w:val="16"/>
                <w:szCs w:val="20"/>
              </w:rPr>
            </w:pPr>
            <w:r w:rsidRPr="00A40217">
              <w:rPr>
                <w:rFonts w:cstheme="minorHAnsi"/>
                <w:b/>
                <w:sz w:val="16"/>
                <w:szCs w:val="20"/>
              </w:rPr>
              <w:t xml:space="preserve">Relative Risk  </w:t>
            </w:r>
          </w:p>
          <w:p w14:paraId="044C0BDF" w14:textId="011A81DF" w:rsidR="002B7A26" w:rsidRPr="00A40217" w:rsidRDefault="000113F6" w:rsidP="00111025">
            <w:pPr>
              <w:rPr>
                <w:rFonts w:cstheme="minorHAnsi"/>
                <w:b/>
                <w:sz w:val="16"/>
                <w:szCs w:val="20"/>
              </w:rPr>
            </w:pPr>
            <w:r w:rsidRPr="00A40217">
              <w:rPr>
                <w:rFonts w:cstheme="minorHAnsi"/>
                <w:b/>
                <w:sz w:val="16"/>
                <w:szCs w:val="20"/>
              </w:rPr>
              <w:t>(</w:t>
            </w:r>
            <w:proofErr w:type="gramStart"/>
            <w:r w:rsidRPr="00A40217">
              <w:rPr>
                <w:rFonts w:cstheme="minorHAnsi"/>
                <w:b/>
                <w:sz w:val="16"/>
                <w:szCs w:val="20"/>
              </w:rPr>
              <w:t>mean</w:t>
            </w:r>
            <w:proofErr w:type="gramEnd"/>
            <w:r w:rsidRPr="00A40217">
              <w:rPr>
                <w:rFonts w:cstheme="minorHAnsi"/>
                <w:b/>
                <w:sz w:val="16"/>
                <w:szCs w:val="20"/>
              </w:rPr>
              <w:t xml:space="preserve"> and standard deviation</w:t>
            </w:r>
            <w:r w:rsidR="002B7A26" w:rsidRPr="00A40217">
              <w:rPr>
                <w:rFonts w:cstheme="minorHAnsi"/>
                <w:b/>
                <w:sz w:val="16"/>
                <w:szCs w:val="20"/>
              </w:rPr>
              <w:t>)</w:t>
            </w:r>
          </w:p>
        </w:tc>
        <w:tc>
          <w:tcPr>
            <w:tcW w:w="2070" w:type="dxa"/>
          </w:tcPr>
          <w:p w14:paraId="747012FF" w14:textId="1B1A2318" w:rsidR="002B7A26" w:rsidRPr="00A40217" w:rsidRDefault="002B7A26" w:rsidP="00111025">
            <w:pPr>
              <w:rPr>
                <w:rFonts w:cstheme="minorHAnsi"/>
                <w:b/>
                <w:sz w:val="16"/>
                <w:szCs w:val="20"/>
              </w:rPr>
            </w:pPr>
            <w:r w:rsidRPr="00A40217">
              <w:rPr>
                <w:rFonts w:cstheme="minorHAnsi"/>
                <w:b/>
                <w:sz w:val="16"/>
                <w:szCs w:val="20"/>
              </w:rPr>
              <w:t xml:space="preserve">Corresponding </w:t>
            </w:r>
            <w:r w:rsidR="00FC241F" w:rsidRPr="00A40217">
              <w:rPr>
                <w:rFonts w:cstheme="minorHAnsi"/>
                <w:b/>
                <w:sz w:val="16"/>
                <w:szCs w:val="20"/>
              </w:rPr>
              <w:t>w</w:t>
            </w:r>
            <w:r w:rsidRPr="00A40217">
              <w:rPr>
                <w:rFonts w:cstheme="minorHAnsi"/>
                <w:b/>
                <w:sz w:val="16"/>
                <w:szCs w:val="20"/>
              </w:rPr>
              <w:t>eekly Exposure (</w:t>
            </w:r>
            <w:proofErr w:type="spellStart"/>
            <w:r w:rsidR="000113F6" w:rsidRPr="00A40217">
              <w:rPr>
                <w:rFonts w:cstheme="minorHAnsi"/>
                <w:b/>
                <w:sz w:val="16"/>
                <w:szCs w:val="20"/>
              </w:rPr>
              <w:t>m</w:t>
            </w:r>
            <w:r w:rsidRPr="00A40217">
              <w:rPr>
                <w:rFonts w:cstheme="minorHAnsi"/>
                <w:b/>
                <w:sz w:val="16"/>
                <w:szCs w:val="20"/>
              </w:rPr>
              <w:t>MET</w:t>
            </w:r>
            <w:proofErr w:type="spellEnd"/>
            <w:r w:rsidRPr="00A40217">
              <w:rPr>
                <w:rFonts w:cstheme="minorHAnsi"/>
                <w:b/>
                <w:sz w:val="16"/>
                <w:szCs w:val="20"/>
              </w:rPr>
              <w:t>-h)</w:t>
            </w:r>
          </w:p>
        </w:tc>
        <w:tc>
          <w:tcPr>
            <w:tcW w:w="2127" w:type="dxa"/>
          </w:tcPr>
          <w:p w14:paraId="2A62147A" w14:textId="77777777" w:rsidR="002B7A26" w:rsidRPr="00A40217" w:rsidRDefault="002B7A26" w:rsidP="00111025">
            <w:pPr>
              <w:rPr>
                <w:rFonts w:cstheme="minorHAnsi"/>
                <w:b/>
                <w:sz w:val="16"/>
                <w:szCs w:val="20"/>
              </w:rPr>
            </w:pPr>
            <w:r w:rsidRPr="00A40217">
              <w:rPr>
                <w:rFonts w:cstheme="minorHAnsi"/>
                <w:b/>
                <w:sz w:val="16"/>
                <w:szCs w:val="20"/>
              </w:rPr>
              <w:t>Source</w:t>
            </w:r>
          </w:p>
        </w:tc>
      </w:tr>
      <w:tr w:rsidR="002B7A26" w:rsidRPr="00A40217" w14:paraId="4B697A00" w14:textId="77777777" w:rsidTr="00803ACB">
        <w:trPr>
          <w:trHeight w:hRule="exact" w:val="288"/>
        </w:trPr>
        <w:tc>
          <w:tcPr>
            <w:tcW w:w="1975" w:type="dxa"/>
          </w:tcPr>
          <w:p w14:paraId="2E70B8DF" w14:textId="77777777" w:rsidR="002B7A26" w:rsidRPr="00A40217" w:rsidRDefault="002B7A26" w:rsidP="00111025">
            <w:pPr>
              <w:rPr>
                <w:rFonts w:cstheme="minorHAnsi"/>
                <w:sz w:val="16"/>
                <w:szCs w:val="20"/>
              </w:rPr>
            </w:pPr>
            <w:r w:rsidRPr="00A40217">
              <w:rPr>
                <w:rFonts w:cstheme="minorHAnsi"/>
                <w:sz w:val="16"/>
                <w:szCs w:val="20"/>
              </w:rPr>
              <w:t>All-cause mortality</w:t>
            </w:r>
          </w:p>
        </w:tc>
        <w:tc>
          <w:tcPr>
            <w:tcW w:w="1620" w:type="dxa"/>
          </w:tcPr>
          <w:p w14:paraId="3571173B" w14:textId="0DAA7907" w:rsidR="002B7A26" w:rsidRPr="00A40217" w:rsidRDefault="002B7A26" w:rsidP="00111025">
            <w:pPr>
              <w:rPr>
                <w:rFonts w:cstheme="minorHAnsi"/>
                <w:sz w:val="16"/>
                <w:szCs w:val="20"/>
              </w:rPr>
            </w:pPr>
            <w:r w:rsidRPr="00A40217">
              <w:rPr>
                <w:rFonts w:cstheme="minorHAnsi"/>
                <w:sz w:val="16"/>
                <w:szCs w:val="20"/>
              </w:rPr>
              <w:t>0.</w:t>
            </w:r>
            <w:r w:rsidR="000113F6" w:rsidRPr="00A40217">
              <w:rPr>
                <w:rFonts w:cstheme="minorHAnsi"/>
                <w:sz w:val="16"/>
                <w:szCs w:val="20"/>
              </w:rPr>
              <w:t>81</w:t>
            </w:r>
            <w:r w:rsidRPr="00A40217">
              <w:rPr>
                <w:rFonts w:cstheme="minorHAnsi"/>
                <w:sz w:val="16"/>
                <w:szCs w:val="20"/>
              </w:rPr>
              <w:t xml:space="preserve"> (0.</w:t>
            </w:r>
            <w:r w:rsidR="000113F6" w:rsidRPr="00A40217">
              <w:rPr>
                <w:rFonts w:cstheme="minorHAnsi"/>
                <w:sz w:val="16"/>
                <w:szCs w:val="20"/>
              </w:rPr>
              <w:t>02</w:t>
            </w:r>
            <w:r w:rsidRPr="00A40217">
              <w:rPr>
                <w:rFonts w:cstheme="minorHAnsi"/>
                <w:sz w:val="16"/>
                <w:szCs w:val="20"/>
              </w:rPr>
              <w:t>)</w:t>
            </w:r>
          </w:p>
        </w:tc>
        <w:tc>
          <w:tcPr>
            <w:tcW w:w="2070" w:type="dxa"/>
          </w:tcPr>
          <w:p w14:paraId="4E951291" w14:textId="50FC428A" w:rsidR="002B7A26" w:rsidRPr="00A40217" w:rsidRDefault="000113F6" w:rsidP="00111025">
            <w:pPr>
              <w:rPr>
                <w:rFonts w:cstheme="minorHAnsi"/>
                <w:sz w:val="16"/>
                <w:szCs w:val="20"/>
              </w:rPr>
            </w:pPr>
            <w:r w:rsidRPr="00A40217">
              <w:rPr>
                <w:rFonts w:cstheme="minorHAnsi"/>
                <w:sz w:val="16"/>
                <w:szCs w:val="20"/>
              </w:rPr>
              <w:t>8.6</w:t>
            </w:r>
            <w:r w:rsidR="002B7A26" w:rsidRPr="00A40217">
              <w:rPr>
                <w:rFonts w:cstheme="minorHAnsi"/>
                <w:sz w:val="16"/>
                <w:szCs w:val="20"/>
              </w:rPr>
              <w:t xml:space="preserve"> </w:t>
            </w:r>
          </w:p>
        </w:tc>
        <w:tc>
          <w:tcPr>
            <w:tcW w:w="2127" w:type="dxa"/>
          </w:tcPr>
          <w:p w14:paraId="483F9CA6" w14:textId="298575E9" w:rsidR="002B7A26" w:rsidRPr="00A40217" w:rsidRDefault="000113F6" w:rsidP="00111025">
            <w:pPr>
              <w:rPr>
                <w:rFonts w:cstheme="minorHAnsi"/>
                <w:sz w:val="16"/>
                <w:szCs w:val="20"/>
              </w:rPr>
            </w:pPr>
            <w:r w:rsidRPr="00A40217">
              <w:rPr>
                <w:rFonts w:cstheme="minorHAnsi"/>
                <w:sz w:val="16"/>
                <w:szCs w:val="20"/>
              </w:rPr>
              <w:t>Woodcock et al. (2011)</w:t>
            </w:r>
          </w:p>
        </w:tc>
      </w:tr>
      <w:tr w:rsidR="002B7A26" w:rsidRPr="00A40217" w14:paraId="1019448E" w14:textId="77777777" w:rsidTr="00803ACB">
        <w:trPr>
          <w:trHeight w:hRule="exact" w:val="288"/>
        </w:trPr>
        <w:tc>
          <w:tcPr>
            <w:tcW w:w="1975" w:type="dxa"/>
          </w:tcPr>
          <w:p w14:paraId="287A28D8" w14:textId="63005818" w:rsidR="002B7A26" w:rsidRPr="00A40217" w:rsidRDefault="000113F6" w:rsidP="002B7A26">
            <w:pPr>
              <w:rPr>
                <w:rFonts w:cstheme="minorHAnsi"/>
                <w:sz w:val="16"/>
                <w:szCs w:val="20"/>
              </w:rPr>
            </w:pPr>
            <w:r w:rsidRPr="00A40217">
              <w:rPr>
                <w:rFonts w:cstheme="minorHAnsi"/>
                <w:sz w:val="16"/>
                <w:szCs w:val="20"/>
              </w:rPr>
              <w:t>IHD</w:t>
            </w:r>
          </w:p>
        </w:tc>
        <w:tc>
          <w:tcPr>
            <w:tcW w:w="1620" w:type="dxa"/>
          </w:tcPr>
          <w:p w14:paraId="717DADF3" w14:textId="72BC842A" w:rsidR="002B7A26" w:rsidRPr="00A40217" w:rsidRDefault="000113F6" w:rsidP="002B7A26">
            <w:pPr>
              <w:rPr>
                <w:rFonts w:cstheme="minorHAnsi"/>
                <w:sz w:val="16"/>
                <w:szCs w:val="20"/>
              </w:rPr>
            </w:pPr>
            <w:r w:rsidRPr="00A40217">
              <w:rPr>
                <w:rFonts w:cstheme="minorHAnsi"/>
                <w:sz w:val="16"/>
                <w:szCs w:val="20"/>
              </w:rPr>
              <w:t>0.84 (0.03)</w:t>
            </w:r>
          </w:p>
        </w:tc>
        <w:tc>
          <w:tcPr>
            <w:tcW w:w="2070" w:type="dxa"/>
          </w:tcPr>
          <w:p w14:paraId="7D87280D" w14:textId="09D51B20" w:rsidR="002B7A26" w:rsidRPr="00A40217" w:rsidRDefault="000113F6" w:rsidP="002B7A26">
            <w:pPr>
              <w:rPr>
                <w:rFonts w:cstheme="minorHAnsi"/>
                <w:sz w:val="16"/>
                <w:szCs w:val="20"/>
              </w:rPr>
            </w:pPr>
            <w:r w:rsidRPr="00A40217">
              <w:rPr>
                <w:rFonts w:cstheme="minorHAnsi"/>
                <w:sz w:val="16"/>
                <w:szCs w:val="20"/>
              </w:rPr>
              <w:t>5.4</w:t>
            </w:r>
          </w:p>
        </w:tc>
        <w:tc>
          <w:tcPr>
            <w:tcW w:w="2127" w:type="dxa"/>
          </w:tcPr>
          <w:p w14:paraId="58F6D369" w14:textId="63E95694" w:rsidR="002B7A26" w:rsidRPr="00A40217" w:rsidRDefault="00FC241F" w:rsidP="002B7A26">
            <w:pPr>
              <w:rPr>
                <w:rFonts w:cstheme="minorHAnsi"/>
                <w:sz w:val="16"/>
                <w:szCs w:val="20"/>
              </w:rPr>
            </w:pPr>
            <w:r w:rsidRPr="00A40217">
              <w:rPr>
                <w:rFonts w:cstheme="minorHAnsi"/>
                <w:sz w:val="16"/>
                <w:szCs w:val="20"/>
              </w:rPr>
              <w:t>Hamer and Chida (2008)</w:t>
            </w:r>
          </w:p>
        </w:tc>
      </w:tr>
      <w:tr w:rsidR="00FC241F" w:rsidRPr="00A40217" w14:paraId="4DF28C74" w14:textId="77777777" w:rsidTr="00803ACB">
        <w:trPr>
          <w:trHeight w:hRule="exact" w:val="288"/>
        </w:trPr>
        <w:tc>
          <w:tcPr>
            <w:tcW w:w="1975" w:type="dxa"/>
          </w:tcPr>
          <w:p w14:paraId="3467B428" w14:textId="6065D670" w:rsidR="00FC241F" w:rsidRPr="00A40217" w:rsidRDefault="00FC241F" w:rsidP="00FC241F">
            <w:pPr>
              <w:rPr>
                <w:rFonts w:cstheme="minorHAnsi"/>
                <w:sz w:val="16"/>
                <w:szCs w:val="20"/>
              </w:rPr>
            </w:pPr>
            <w:r w:rsidRPr="00A40217">
              <w:rPr>
                <w:rFonts w:cstheme="minorHAnsi"/>
                <w:sz w:val="16"/>
                <w:szCs w:val="20"/>
              </w:rPr>
              <w:t>Stroke</w:t>
            </w:r>
          </w:p>
        </w:tc>
        <w:tc>
          <w:tcPr>
            <w:tcW w:w="1620" w:type="dxa"/>
          </w:tcPr>
          <w:p w14:paraId="097741B2" w14:textId="4087299A" w:rsidR="00FC241F" w:rsidRPr="00A40217" w:rsidRDefault="00FC241F" w:rsidP="00FC241F">
            <w:pPr>
              <w:rPr>
                <w:rFonts w:cstheme="minorHAnsi"/>
                <w:sz w:val="16"/>
                <w:szCs w:val="20"/>
              </w:rPr>
            </w:pPr>
            <w:r w:rsidRPr="00A40217">
              <w:rPr>
                <w:rFonts w:cstheme="minorHAnsi"/>
                <w:sz w:val="16"/>
                <w:szCs w:val="20"/>
              </w:rPr>
              <w:t>0.84 (0.03)</w:t>
            </w:r>
          </w:p>
        </w:tc>
        <w:tc>
          <w:tcPr>
            <w:tcW w:w="2070" w:type="dxa"/>
          </w:tcPr>
          <w:p w14:paraId="3F1FF100" w14:textId="6427DED1" w:rsidR="00FC241F" w:rsidRPr="00A40217" w:rsidRDefault="00FC241F" w:rsidP="00FC241F">
            <w:pPr>
              <w:rPr>
                <w:rFonts w:cstheme="minorHAnsi"/>
                <w:sz w:val="16"/>
                <w:szCs w:val="20"/>
              </w:rPr>
            </w:pPr>
            <w:r w:rsidRPr="00A40217">
              <w:rPr>
                <w:rFonts w:cstheme="minorHAnsi"/>
                <w:sz w:val="16"/>
                <w:szCs w:val="20"/>
              </w:rPr>
              <w:t>5.4</w:t>
            </w:r>
          </w:p>
        </w:tc>
        <w:tc>
          <w:tcPr>
            <w:tcW w:w="2127" w:type="dxa"/>
          </w:tcPr>
          <w:p w14:paraId="4D22DFDA" w14:textId="3ECCB774" w:rsidR="00FC241F" w:rsidRPr="00A40217" w:rsidRDefault="00FC241F" w:rsidP="00FC241F">
            <w:pPr>
              <w:rPr>
                <w:rFonts w:cstheme="minorHAnsi"/>
                <w:sz w:val="16"/>
                <w:szCs w:val="20"/>
              </w:rPr>
            </w:pPr>
            <w:r w:rsidRPr="00A40217">
              <w:rPr>
                <w:rFonts w:cstheme="minorHAnsi"/>
                <w:sz w:val="16"/>
                <w:szCs w:val="20"/>
              </w:rPr>
              <w:t>Hamer and Chida (2008)</w:t>
            </w:r>
          </w:p>
        </w:tc>
      </w:tr>
      <w:tr w:rsidR="00FC241F" w:rsidRPr="00A40217" w14:paraId="0D7EEA3E" w14:textId="77777777" w:rsidTr="00803ACB">
        <w:trPr>
          <w:trHeight w:hRule="exact" w:val="288"/>
        </w:trPr>
        <w:tc>
          <w:tcPr>
            <w:tcW w:w="1975" w:type="dxa"/>
          </w:tcPr>
          <w:p w14:paraId="6D032B4F" w14:textId="6E3728E8" w:rsidR="00FC241F" w:rsidRPr="00A40217" w:rsidRDefault="00FC241F" w:rsidP="00FC241F">
            <w:pPr>
              <w:rPr>
                <w:rFonts w:cstheme="minorHAnsi"/>
                <w:sz w:val="16"/>
                <w:szCs w:val="20"/>
              </w:rPr>
            </w:pPr>
            <w:r w:rsidRPr="00A40217">
              <w:rPr>
                <w:rFonts w:cstheme="minorHAnsi"/>
                <w:sz w:val="16"/>
                <w:szCs w:val="20"/>
              </w:rPr>
              <w:t>COPD</w:t>
            </w:r>
          </w:p>
        </w:tc>
        <w:tc>
          <w:tcPr>
            <w:tcW w:w="1620" w:type="dxa"/>
          </w:tcPr>
          <w:p w14:paraId="2DA1687E" w14:textId="1C53DE07" w:rsidR="00FC241F" w:rsidRPr="00A40217" w:rsidRDefault="00FC241F" w:rsidP="00FC241F">
            <w:pPr>
              <w:rPr>
                <w:rFonts w:cstheme="minorHAnsi"/>
                <w:sz w:val="16"/>
                <w:szCs w:val="20"/>
              </w:rPr>
            </w:pPr>
            <w:r w:rsidRPr="00A40217">
              <w:rPr>
                <w:rFonts w:cstheme="minorHAnsi"/>
                <w:sz w:val="16"/>
                <w:szCs w:val="20"/>
              </w:rPr>
              <w:t>0.84 (0.03)</w:t>
            </w:r>
          </w:p>
        </w:tc>
        <w:tc>
          <w:tcPr>
            <w:tcW w:w="2070" w:type="dxa"/>
          </w:tcPr>
          <w:p w14:paraId="243267BE" w14:textId="606B10C3" w:rsidR="00FC241F" w:rsidRPr="00A40217" w:rsidRDefault="00FC241F" w:rsidP="00FC241F">
            <w:pPr>
              <w:rPr>
                <w:rFonts w:cstheme="minorHAnsi"/>
                <w:sz w:val="16"/>
                <w:szCs w:val="20"/>
              </w:rPr>
            </w:pPr>
            <w:r w:rsidRPr="00A40217">
              <w:rPr>
                <w:rFonts w:cstheme="minorHAnsi"/>
                <w:sz w:val="16"/>
                <w:szCs w:val="20"/>
              </w:rPr>
              <w:t>5.4</w:t>
            </w:r>
          </w:p>
        </w:tc>
        <w:tc>
          <w:tcPr>
            <w:tcW w:w="2127" w:type="dxa"/>
          </w:tcPr>
          <w:p w14:paraId="1179ECD2" w14:textId="4EA6BBED" w:rsidR="00FC241F" w:rsidRPr="00A40217" w:rsidRDefault="00FC241F" w:rsidP="00FC241F">
            <w:pPr>
              <w:rPr>
                <w:rFonts w:cstheme="minorHAnsi"/>
                <w:sz w:val="16"/>
                <w:szCs w:val="20"/>
              </w:rPr>
            </w:pPr>
            <w:r w:rsidRPr="00A40217">
              <w:rPr>
                <w:rFonts w:cstheme="minorHAnsi"/>
                <w:sz w:val="16"/>
                <w:szCs w:val="20"/>
              </w:rPr>
              <w:t>Hamer and Chida (2008)</w:t>
            </w:r>
          </w:p>
        </w:tc>
      </w:tr>
      <w:tr w:rsidR="002B7A26" w:rsidRPr="00A40217" w14:paraId="40D71450" w14:textId="77777777" w:rsidTr="00803ACB">
        <w:trPr>
          <w:trHeight w:hRule="exact" w:val="288"/>
        </w:trPr>
        <w:tc>
          <w:tcPr>
            <w:tcW w:w="1975" w:type="dxa"/>
          </w:tcPr>
          <w:p w14:paraId="15631CD3" w14:textId="38DB16DD" w:rsidR="002B7A26" w:rsidRPr="00A40217" w:rsidRDefault="000113F6" w:rsidP="002B7A26">
            <w:pPr>
              <w:rPr>
                <w:rFonts w:cstheme="minorHAnsi"/>
                <w:sz w:val="16"/>
                <w:szCs w:val="20"/>
              </w:rPr>
            </w:pPr>
            <w:r w:rsidRPr="00A40217">
              <w:rPr>
                <w:rFonts w:cstheme="minorHAnsi"/>
                <w:sz w:val="16"/>
                <w:szCs w:val="20"/>
              </w:rPr>
              <w:t>Type-2 diabetes</w:t>
            </w:r>
          </w:p>
        </w:tc>
        <w:tc>
          <w:tcPr>
            <w:tcW w:w="1620" w:type="dxa"/>
          </w:tcPr>
          <w:p w14:paraId="1655938F" w14:textId="783CC9B9" w:rsidR="002B7A26" w:rsidRPr="00A40217" w:rsidRDefault="00FC241F" w:rsidP="002B7A26">
            <w:pPr>
              <w:rPr>
                <w:rFonts w:cstheme="minorHAnsi"/>
                <w:sz w:val="16"/>
                <w:szCs w:val="20"/>
              </w:rPr>
            </w:pPr>
            <w:r w:rsidRPr="00A40217">
              <w:rPr>
                <w:rFonts w:cstheme="minorHAnsi"/>
                <w:sz w:val="16"/>
                <w:szCs w:val="20"/>
              </w:rPr>
              <w:t>0.83 (0.04)</w:t>
            </w:r>
          </w:p>
        </w:tc>
        <w:tc>
          <w:tcPr>
            <w:tcW w:w="2070" w:type="dxa"/>
          </w:tcPr>
          <w:p w14:paraId="6C0AA4AC" w14:textId="44EFE037" w:rsidR="002B7A26" w:rsidRPr="00A40217" w:rsidRDefault="00FC241F" w:rsidP="002B7A26">
            <w:pPr>
              <w:rPr>
                <w:rFonts w:cstheme="minorHAnsi"/>
                <w:sz w:val="16"/>
                <w:szCs w:val="20"/>
              </w:rPr>
            </w:pPr>
            <w:r w:rsidRPr="00A40217">
              <w:rPr>
                <w:rFonts w:cstheme="minorHAnsi"/>
                <w:sz w:val="16"/>
                <w:szCs w:val="20"/>
              </w:rPr>
              <w:t>5.6</w:t>
            </w:r>
          </w:p>
        </w:tc>
        <w:tc>
          <w:tcPr>
            <w:tcW w:w="2127" w:type="dxa"/>
          </w:tcPr>
          <w:p w14:paraId="6F5C3E83" w14:textId="68523695" w:rsidR="002B7A26" w:rsidRPr="00A40217" w:rsidRDefault="00FC241F" w:rsidP="002B7A26">
            <w:pPr>
              <w:rPr>
                <w:rFonts w:cstheme="minorHAnsi"/>
                <w:sz w:val="16"/>
                <w:szCs w:val="20"/>
              </w:rPr>
            </w:pPr>
            <w:r w:rsidRPr="00A40217">
              <w:rPr>
                <w:rFonts w:cstheme="minorHAnsi"/>
                <w:sz w:val="16"/>
                <w:szCs w:val="20"/>
              </w:rPr>
              <w:t>Jeon et al. (2007)</w:t>
            </w:r>
          </w:p>
        </w:tc>
      </w:tr>
      <w:tr w:rsidR="002B7A26" w:rsidRPr="00A40217" w14:paraId="2758592C" w14:textId="77777777" w:rsidTr="00803ACB">
        <w:trPr>
          <w:trHeight w:hRule="exact" w:val="288"/>
        </w:trPr>
        <w:tc>
          <w:tcPr>
            <w:tcW w:w="1975" w:type="dxa"/>
          </w:tcPr>
          <w:p w14:paraId="0199BB29" w14:textId="7D4FCB4E" w:rsidR="002B7A26" w:rsidRPr="00A40217" w:rsidRDefault="000113F6" w:rsidP="002B7A26">
            <w:pPr>
              <w:rPr>
                <w:rFonts w:cstheme="minorHAnsi"/>
                <w:sz w:val="16"/>
                <w:szCs w:val="20"/>
              </w:rPr>
            </w:pPr>
            <w:r w:rsidRPr="00A40217">
              <w:rPr>
                <w:rFonts w:cstheme="minorHAnsi"/>
                <w:sz w:val="16"/>
                <w:szCs w:val="20"/>
              </w:rPr>
              <w:t>Colon Cancer</w:t>
            </w:r>
          </w:p>
        </w:tc>
        <w:tc>
          <w:tcPr>
            <w:tcW w:w="1620" w:type="dxa"/>
          </w:tcPr>
          <w:p w14:paraId="01ADCBA5" w14:textId="5E8540CE" w:rsidR="002B7A26" w:rsidRPr="00A40217" w:rsidRDefault="00FC241F" w:rsidP="002B7A26">
            <w:pPr>
              <w:rPr>
                <w:rFonts w:cstheme="minorHAnsi"/>
                <w:sz w:val="16"/>
                <w:szCs w:val="20"/>
              </w:rPr>
            </w:pPr>
            <w:r w:rsidRPr="00A40217">
              <w:rPr>
                <w:rFonts w:cstheme="minorHAnsi"/>
                <w:sz w:val="16"/>
                <w:szCs w:val="20"/>
              </w:rPr>
              <w:t>0.80 (0.08)</w:t>
            </w:r>
          </w:p>
        </w:tc>
        <w:tc>
          <w:tcPr>
            <w:tcW w:w="2070" w:type="dxa"/>
          </w:tcPr>
          <w:p w14:paraId="036A31D1" w14:textId="29BD1B60" w:rsidR="002B7A26" w:rsidRPr="00A40217" w:rsidRDefault="00FC241F" w:rsidP="002B7A26">
            <w:pPr>
              <w:rPr>
                <w:rFonts w:cstheme="minorHAnsi"/>
                <w:sz w:val="16"/>
                <w:szCs w:val="20"/>
              </w:rPr>
            </w:pPr>
            <w:r w:rsidRPr="00A40217">
              <w:rPr>
                <w:rFonts w:cstheme="minorHAnsi"/>
                <w:sz w:val="16"/>
                <w:szCs w:val="20"/>
              </w:rPr>
              <w:t>24.1</w:t>
            </w:r>
          </w:p>
        </w:tc>
        <w:tc>
          <w:tcPr>
            <w:tcW w:w="2127" w:type="dxa"/>
          </w:tcPr>
          <w:p w14:paraId="1C05D8BC" w14:textId="469EB593" w:rsidR="002B7A26" w:rsidRPr="00A40217" w:rsidRDefault="00FC241F" w:rsidP="002B7A26">
            <w:pPr>
              <w:rPr>
                <w:rFonts w:cstheme="minorHAnsi"/>
                <w:sz w:val="16"/>
                <w:szCs w:val="20"/>
              </w:rPr>
            </w:pPr>
            <w:proofErr w:type="spellStart"/>
            <w:r w:rsidRPr="00A40217">
              <w:rPr>
                <w:rFonts w:cstheme="minorHAnsi"/>
                <w:sz w:val="16"/>
                <w:szCs w:val="20"/>
              </w:rPr>
              <w:t>Harriss</w:t>
            </w:r>
            <w:proofErr w:type="spellEnd"/>
            <w:r w:rsidRPr="00A40217">
              <w:rPr>
                <w:rFonts w:cstheme="minorHAnsi"/>
                <w:sz w:val="16"/>
                <w:szCs w:val="20"/>
              </w:rPr>
              <w:t xml:space="preserve"> et al. (2009)</w:t>
            </w:r>
          </w:p>
        </w:tc>
      </w:tr>
      <w:tr w:rsidR="00FC241F" w:rsidRPr="00A40217" w14:paraId="17B61577" w14:textId="77777777" w:rsidTr="00803ACB">
        <w:trPr>
          <w:trHeight w:hRule="exact" w:val="288"/>
        </w:trPr>
        <w:tc>
          <w:tcPr>
            <w:tcW w:w="1975" w:type="dxa"/>
          </w:tcPr>
          <w:p w14:paraId="4F5044E1" w14:textId="77777777" w:rsidR="00FC241F" w:rsidRPr="00A40217" w:rsidRDefault="00FC241F" w:rsidP="002B7A26">
            <w:pPr>
              <w:rPr>
                <w:rFonts w:cstheme="minorHAnsi"/>
                <w:sz w:val="16"/>
                <w:szCs w:val="20"/>
              </w:rPr>
            </w:pPr>
          </w:p>
        </w:tc>
        <w:tc>
          <w:tcPr>
            <w:tcW w:w="1620" w:type="dxa"/>
          </w:tcPr>
          <w:p w14:paraId="556F44D4" w14:textId="15E0E108" w:rsidR="00FC241F" w:rsidRPr="00A40217" w:rsidRDefault="00FC241F" w:rsidP="002B7A26">
            <w:pPr>
              <w:rPr>
                <w:rFonts w:cstheme="minorHAnsi"/>
                <w:sz w:val="16"/>
                <w:szCs w:val="20"/>
              </w:rPr>
            </w:pPr>
            <w:r w:rsidRPr="00A40217">
              <w:rPr>
                <w:rFonts w:cstheme="minorHAnsi"/>
                <w:sz w:val="16"/>
                <w:szCs w:val="20"/>
              </w:rPr>
              <w:t>0.86 (0.06)</w:t>
            </w:r>
          </w:p>
        </w:tc>
        <w:tc>
          <w:tcPr>
            <w:tcW w:w="2070" w:type="dxa"/>
          </w:tcPr>
          <w:p w14:paraId="28B051BC" w14:textId="5D6D389B" w:rsidR="00FC241F" w:rsidRPr="00A40217" w:rsidRDefault="00FC241F" w:rsidP="002B7A26">
            <w:pPr>
              <w:rPr>
                <w:rFonts w:cstheme="minorHAnsi"/>
                <w:sz w:val="16"/>
                <w:szCs w:val="20"/>
              </w:rPr>
            </w:pPr>
            <w:r w:rsidRPr="00A40217">
              <w:rPr>
                <w:rFonts w:cstheme="minorHAnsi"/>
                <w:sz w:val="16"/>
                <w:szCs w:val="20"/>
              </w:rPr>
              <w:t>23.3</w:t>
            </w:r>
          </w:p>
        </w:tc>
        <w:tc>
          <w:tcPr>
            <w:tcW w:w="2127" w:type="dxa"/>
          </w:tcPr>
          <w:p w14:paraId="0F3C4F2C" w14:textId="15FDA8C9" w:rsidR="00FC241F" w:rsidRPr="00A40217" w:rsidRDefault="00FC241F" w:rsidP="002B7A26">
            <w:pPr>
              <w:rPr>
                <w:rFonts w:cstheme="minorHAnsi"/>
                <w:sz w:val="16"/>
                <w:szCs w:val="20"/>
              </w:rPr>
            </w:pPr>
            <w:proofErr w:type="spellStart"/>
            <w:r w:rsidRPr="00A40217">
              <w:rPr>
                <w:rFonts w:cstheme="minorHAnsi"/>
                <w:sz w:val="16"/>
                <w:szCs w:val="20"/>
              </w:rPr>
              <w:t>Harriss</w:t>
            </w:r>
            <w:proofErr w:type="spellEnd"/>
            <w:r w:rsidRPr="00A40217">
              <w:rPr>
                <w:rFonts w:cstheme="minorHAnsi"/>
                <w:sz w:val="16"/>
                <w:szCs w:val="20"/>
              </w:rPr>
              <w:t xml:space="preserve"> et al. (2009)</w:t>
            </w:r>
          </w:p>
        </w:tc>
      </w:tr>
      <w:tr w:rsidR="002B7A26" w:rsidRPr="00A40217" w14:paraId="6722D742" w14:textId="77777777" w:rsidTr="00803ACB">
        <w:trPr>
          <w:trHeight w:hRule="exact" w:val="288"/>
        </w:trPr>
        <w:tc>
          <w:tcPr>
            <w:tcW w:w="1975" w:type="dxa"/>
          </w:tcPr>
          <w:p w14:paraId="37D3BB5B" w14:textId="32C42E26" w:rsidR="002B7A26" w:rsidRPr="00A40217" w:rsidRDefault="000113F6" w:rsidP="002B7A26">
            <w:pPr>
              <w:rPr>
                <w:rFonts w:cstheme="minorHAnsi"/>
                <w:sz w:val="16"/>
                <w:szCs w:val="20"/>
              </w:rPr>
            </w:pPr>
            <w:r w:rsidRPr="00A40217">
              <w:rPr>
                <w:rFonts w:cstheme="minorHAnsi"/>
                <w:sz w:val="16"/>
                <w:szCs w:val="20"/>
              </w:rPr>
              <w:t>Breast Cancer</w:t>
            </w:r>
          </w:p>
        </w:tc>
        <w:tc>
          <w:tcPr>
            <w:tcW w:w="1620" w:type="dxa"/>
          </w:tcPr>
          <w:p w14:paraId="50C76022" w14:textId="218FB61A" w:rsidR="002B7A26" w:rsidRPr="00A40217" w:rsidRDefault="00FC241F" w:rsidP="002B7A26">
            <w:pPr>
              <w:rPr>
                <w:rFonts w:cstheme="minorHAnsi"/>
                <w:sz w:val="16"/>
                <w:szCs w:val="20"/>
              </w:rPr>
            </w:pPr>
            <w:r w:rsidRPr="00A40217">
              <w:rPr>
                <w:rFonts w:cstheme="minorHAnsi"/>
                <w:sz w:val="16"/>
                <w:szCs w:val="20"/>
              </w:rPr>
              <w:t>0.94 (0.01)</w:t>
            </w:r>
          </w:p>
        </w:tc>
        <w:tc>
          <w:tcPr>
            <w:tcW w:w="2070" w:type="dxa"/>
          </w:tcPr>
          <w:p w14:paraId="0BBFDC89" w14:textId="0E37A822" w:rsidR="002B7A26" w:rsidRPr="00A40217" w:rsidRDefault="00FC241F" w:rsidP="002B7A26">
            <w:pPr>
              <w:rPr>
                <w:rFonts w:cstheme="minorHAnsi"/>
                <w:sz w:val="16"/>
                <w:szCs w:val="20"/>
              </w:rPr>
            </w:pPr>
            <w:r w:rsidRPr="00A40217">
              <w:rPr>
                <w:rFonts w:cstheme="minorHAnsi"/>
                <w:sz w:val="16"/>
                <w:szCs w:val="20"/>
              </w:rPr>
              <w:t>3.5</w:t>
            </w:r>
          </w:p>
        </w:tc>
        <w:tc>
          <w:tcPr>
            <w:tcW w:w="2127" w:type="dxa"/>
          </w:tcPr>
          <w:p w14:paraId="5A7C21A0" w14:textId="1FA19421" w:rsidR="002B7A26" w:rsidRPr="00A40217" w:rsidRDefault="00FC241F" w:rsidP="002B7A26">
            <w:pPr>
              <w:rPr>
                <w:rFonts w:cstheme="minorHAnsi"/>
                <w:sz w:val="16"/>
                <w:szCs w:val="20"/>
              </w:rPr>
            </w:pPr>
            <w:proofErr w:type="spellStart"/>
            <w:r w:rsidRPr="00A40217">
              <w:rPr>
                <w:rFonts w:cstheme="minorHAnsi"/>
                <w:sz w:val="16"/>
                <w:szCs w:val="20"/>
              </w:rPr>
              <w:t>Monninkhof</w:t>
            </w:r>
            <w:proofErr w:type="spellEnd"/>
            <w:r w:rsidRPr="00A40217">
              <w:rPr>
                <w:rFonts w:cstheme="minorHAnsi"/>
                <w:sz w:val="16"/>
                <w:szCs w:val="20"/>
              </w:rPr>
              <w:t xml:space="preserve"> et al. (2007)</w:t>
            </w:r>
          </w:p>
        </w:tc>
      </w:tr>
      <w:tr w:rsidR="002B7A26" w:rsidRPr="00A40217" w14:paraId="18552D60" w14:textId="77777777" w:rsidTr="00803ACB">
        <w:trPr>
          <w:trHeight w:hRule="exact" w:val="288"/>
        </w:trPr>
        <w:tc>
          <w:tcPr>
            <w:tcW w:w="1975" w:type="dxa"/>
          </w:tcPr>
          <w:p w14:paraId="33CDF496" w14:textId="016BA62F" w:rsidR="002B7A26" w:rsidRPr="00A40217" w:rsidRDefault="000113F6" w:rsidP="002B7A26">
            <w:pPr>
              <w:rPr>
                <w:rFonts w:cstheme="minorHAnsi"/>
                <w:sz w:val="16"/>
                <w:szCs w:val="20"/>
              </w:rPr>
            </w:pPr>
            <w:r w:rsidRPr="00A40217">
              <w:rPr>
                <w:rFonts w:cstheme="minorHAnsi"/>
                <w:sz w:val="16"/>
                <w:szCs w:val="20"/>
              </w:rPr>
              <w:t>Alzheimer's disease and other dementias</w:t>
            </w:r>
          </w:p>
        </w:tc>
        <w:tc>
          <w:tcPr>
            <w:tcW w:w="1620" w:type="dxa"/>
          </w:tcPr>
          <w:p w14:paraId="7F2CEC90" w14:textId="274AA7F7" w:rsidR="002B7A26" w:rsidRPr="00A40217" w:rsidRDefault="00FC241F" w:rsidP="002B7A26">
            <w:pPr>
              <w:rPr>
                <w:rFonts w:cstheme="minorHAnsi"/>
                <w:sz w:val="16"/>
                <w:szCs w:val="20"/>
              </w:rPr>
            </w:pPr>
            <w:r w:rsidRPr="00A40217">
              <w:rPr>
                <w:rFonts w:cstheme="minorHAnsi"/>
                <w:sz w:val="16"/>
                <w:szCs w:val="20"/>
              </w:rPr>
              <w:t>0.72 (0.07)</w:t>
            </w:r>
          </w:p>
        </w:tc>
        <w:tc>
          <w:tcPr>
            <w:tcW w:w="2070" w:type="dxa"/>
          </w:tcPr>
          <w:p w14:paraId="797C5ADA" w14:textId="53DBBFED" w:rsidR="002B7A26" w:rsidRPr="00A40217" w:rsidRDefault="00FC241F" w:rsidP="002B7A26">
            <w:pPr>
              <w:rPr>
                <w:rFonts w:cstheme="minorHAnsi"/>
                <w:sz w:val="16"/>
                <w:szCs w:val="20"/>
              </w:rPr>
            </w:pPr>
            <w:r w:rsidRPr="00A40217">
              <w:rPr>
                <w:rFonts w:cstheme="minorHAnsi"/>
                <w:sz w:val="16"/>
                <w:szCs w:val="20"/>
              </w:rPr>
              <w:t>24.5</w:t>
            </w:r>
          </w:p>
        </w:tc>
        <w:tc>
          <w:tcPr>
            <w:tcW w:w="2127" w:type="dxa"/>
          </w:tcPr>
          <w:p w14:paraId="32B657DB" w14:textId="76D08625" w:rsidR="002B7A26" w:rsidRPr="00A40217" w:rsidRDefault="00FC241F" w:rsidP="002B7A26">
            <w:pPr>
              <w:rPr>
                <w:rFonts w:cstheme="minorHAnsi"/>
                <w:sz w:val="16"/>
                <w:szCs w:val="20"/>
              </w:rPr>
            </w:pPr>
            <w:r w:rsidRPr="00A40217">
              <w:rPr>
                <w:rFonts w:cstheme="minorHAnsi"/>
                <w:sz w:val="16"/>
                <w:szCs w:val="20"/>
              </w:rPr>
              <w:t>Hamer and Chida (2008)</w:t>
            </w:r>
          </w:p>
        </w:tc>
      </w:tr>
      <w:tr w:rsidR="000113F6" w:rsidRPr="00A40217" w14:paraId="7359F99C" w14:textId="77777777" w:rsidTr="00803ACB">
        <w:trPr>
          <w:trHeight w:hRule="exact" w:val="288"/>
        </w:trPr>
        <w:tc>
          <w:tcPr>
            <w:tcW w:w="1975" w:type="dxa"/>
          </w:tcPr>
          <w:p w14:paraId="3B72873D" w14:textId="152CF2AE" w:rsidR="000113F6" w:rsidRPr="00A40217" w:rsidRDefault="00FC241F" w:rsidP="002B7A26">
            <w:pPr>
              <w:rPr>
                <w:rFonts w:cstheme="minorHAnsi"/>
                <w:sz w:val="16"/>
                <w:szCs w:val="20"/>
              </w:rPr>
            </w:pPr>
            <w:r w:rsidRPr="00A40217">
              <w:rPr>
                <w:rFonts w:cstheme="minorHAnsi"/>
                <w:sz w:val="16"/>
                <w:szCs w:val="20"/>
              </w:rPr>
              <w:t>Depression</w:t>
            </w:r>
          </w:p>
        </w:tc>
        <w:tc>
          <w:tcPr>
            <w:tcW w:w="1620" w:type="dxa"/>
          </w:tcPr>
          <w:p w14:paraId="33BB0960" w14:textId="2BF2E3FA" w:rsidR="000113F6" w:rsidRPr="00A40217" w:rsidRDefault="00FC241F" w:rsidP="002B7A26">
            <w:pPr>
              <w:rPr>
                <w:rFonts w:cstheme="minorHAnsi"/>
                <w:sz w:val="16"/>
                <w:szCs w:val="20"/>
              </w:rPr>
            </w:pPr>
            <w:r w:rsidRPr="00A40217">
              <w:rPr>
                <w:rFonts w:cstheme="minorHAnsi"/>
                <w:sz w:val="16"/>
                <w:szCs w:val="20"/>
              </w:rPr>
              <w:t>0.96 (0.02)</w:t>
            </w:r>
          </w:p>
        </w:tc>
        <w:tc>
          <w:tcPr>
            <w:tcW w:w="2070" w:type="dxa"/>
          </w:tcPr>
          <w:p w14:paraId="29637607" w14:textId="07ABA71A" w:rsidR="000113F6" w:rsidRPr="00A40217" w:rsidRDefault="00FC241F" w:rsidP="002B7A26">
            <w:pPr>
              <w:rPr>
                <w:rFonts w:cstheme="minorHAnsi"/>
                <w:sz w:val="16"/>
                <w:szCs w:val="20"/>
              </w:rPr>
            </w:pPr>
            <w:r w:rsidRPr="00A40217">
              <w:rPr>
                <w:rFonts w:cstheme="minorHAnsi"/>
                <w:sz w:val="16"/>
                <w:szCs w:val="20"/>
              </w:rPr>
              <w:t>0.8</w:t>
            </w:r>
          </w:p>
        </w:tc>
        <w:tc>
          <w:tcPr>
            <w:tcW w:w="2127" w:type="dxa"/>
          </w:tcPr>
          <w:p w14:paraId="67B3AF53" w14:textId="60FE62E7" w:rsidR="000113F6" w:rsidRPr="00A40217" w:rsidRDefault="00FC241F" w:rsidP="002B7A26">
            <w:pPr>
              <w:rPr>
                <w:rFonts w:cstheme="minorHAnsi"/>
                <w:sz w:val="16"/>
                <w:szCs w:val="20"/>
              </w:rPr>
            </w:pPr>
            <w:proofErr w:type="spellStart"/>
            <w:r w:rsidRPr="00A40217">
              <w:rPr>
                <w:rFonts w:cstheme="minorHAnsi"/>
                <w:sz w:val="16"/>
                <w:szCs w:val="20"/>
              </w:rPr>
              <w:t>Paffenbarger</w:t>
            </w:r>
            <w:proofErr w:type="spellEnd"/>
            <w:r w:rsidRPr="00A40217">
              <w:rPr>
                <w:rFonts w:cstheme="minorHAnsi"/>
                <w:sz w:val="16"/>
                <w:szCs w:val="20"/>
              </w:rPr>
              <w:t xml:space="preserve"> et al. (1994)</w:t>
            </w:r>
          </w:p>
        </w:tc>
      </w:tr>
    </w:tbl>
    <w:p w14:paraId="58ECF79B" w14:textId="71FD1CA9" w:rsidR="00111025" w:rsidRPr="00A40217" w:rsidRDefault="00111025" w:rsidP="00111025">
      <w:pPr>
        <w:spacing w:after="0"/>
        <w:rPr>
          <w:rFonts w:cstheme="minorHAnsi"/>
        </w:rPr>
      </w:pPr>
      <w:r w:rsidRPr="00A40217">
        <w:rPr>
          <w:rFonts w:cstheme="minorHAnsi"/>
        </w:rPr>
        <w:t xml:space="preserve">Meta-analyses of physical activity dose-response relationships (Woodcock et al., 2011; Kelly et al., 2014) have reported that the best-fit for the curves is obtained using a departure from linear relationship between physical activity exposure and risk of health outcomes, in which </w:t>
      </w:r>
      <w:r w:rsidR="009161CE" w:rsidRPr="00A40217">
        <w:rPr>
          <w:rFonts w:cstheme="minorHAnsi"/>
        </w:rPr>
        <w:t>the above equation i</w:t>
      </w:r>
      <w:r w:rsidRPr="00A40217">
        <w:rPr>
          <w:rFonts w:cstheme="minorHAnsi"/>
        </w:rPr>
        <w:t xml:space="preserve">s expressed as: </w:t>
      </w: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015"/>
      </w:tblGrid>
      <w:tr w:rsidR="00111025" w:rsidRPr="00A40217" w14:paraId="496B24E4" w14:textId="77777777" w:rsidTr="00111025">
        <w:tc>
          <w:tcPr>
            <w:tcW w:w="8075" w:type="dxa"/>
          </w:tcPr>
          <w:p w14:paraId="15E3E029" w14:textId="77777777" w:rsidR="00111025" w:rsidRPr="00A40217" w:rsidRDefault="00111025" w:rsidP="00111025">
            <w:pPr>
              <w:spacing w:after="200"/>
              <w:jc w:val="center"/>
              <w:rPr>
                <w:rFonts w:cstheme="minorHAnsi"/>
              </w:rPr>
            </w:pPr>
            <w:r w:rsidRPr="00A40217">
              <w:rPr>
                <w:rFonts w:cstheme="minorHAnsi"/>
                <w:sz w:val="32"/>
              </w:rPr>
              <w:tab/>
              <w:t xml:space="preserve"> </w:t>
            </w:r>
            <m:oMath>
              <m:sSup>
                <m:sSupPr>
                  <m:ctrlPr>
                    <w:rPr>
                      <w:rFonts w:ascii="Cambria Math" w:hAnsi="Cambria Math" w:cstheme="minorHAnsi"/>
                      <w:i/>
                    </w:rPr>
                  </m:ctrlPr>
                </m:sSupPr>
                <m:e>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RR(x)=(RR</m:t>
                          </m:r>
                        </m:e>
                        <m:sub>
                          <m:r>
                            <w:rPr>
                              <w:rFonts w:ascii="Cambria Math" w:hAnsi="Cambria Math" w:cstheme="minorHAnsi"/>
                            </w:rPr>
                            <m:t>o</m:t>
                          </m:r>
                        </m:sub>
                      </m:sSub>
                    </m:e>
                    <m:sup>
                      <m:f>
                        <m:fPr>
                          <m:ctrlPr>
                            <w:rPr>
                              <w:rFonts w:ascii="Cambria Math" w:hAnsi="Cambria Math" w:cstheme="minorHAnsi"/>
                              <w:i/>
                            </w:rPr>
                          </m:ctrlPr>
                        </m:fPr>
                        <m:num>
                          <m:r>
                            <w:rPr>
                              <w:rFonts w:ascii="Cambria Math" w:hAnsi="Cambria Math" w:cstheme="minorHAnsi"/>
                            </w:rPr>
                            <m:t>1</m:t>
                          </m:r>
                        </m:num>
                        <m:den>
                          <m:sSup>
                            <m:sSupPr>
                              <m:ctrlPr>
                                <w:rPr>
                                  <w:rFonts w:ascii="Cambria Math" w:hAnsi="Cambria Math" w:cstheme="minorHAnsi"/>
                                  <w:i/>
                                </w:rPr>
                              </m:ctrlPr>
                            </m:sSupPr>
                            <m:e>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o</m:t>
                                      </m:r>
                                    </m:sub>
                                  </m:sSub>
                                </m:e>
                              </m:d>
                            </m:e>
                            <m:sup>
                              <m:r>
                                <w:rPr>
                                  <w:rFonts w:ascii="Cambria Math" w:hAnsi="Cambria Math" w:cstheme="minorHAnsi"/>
                                </w:rPr>
                                <m:t>t</m:t>
                              </m:r>
                            </m:sup>
                          </m:sSup>
                        </m:den>
                      </m:f>
                    </m:sup>
                  </m:sSup>
                  <m:r>
                    <w:rPr>
                      <w:rFonts w:ascii="Cambria Math" w:hAnsi="Cambria Math" w:cstheme="minorHAnsi"/>
                    </w:rPr>
                    <m:t>)</m:t>
                  </m:r>
                </m:e>
                <m:sup>
                  <m:sSup>
                    <m:sSupPr>
                      <m:ctrlPr>
                        <w:rPr>
                          <w:rFonts w:ascii="Cambria Math" w:hAnsi="Cambria Math" w:cstheme="minorHAnsi"/>
                          <w:i/>
                        </w:rPr>
                      </m:ctrlPr>
                    </m:sSupPr>
                    <m:e>
                      <m:r>
                        <w:rPr>
                          <w:rFonts w:ascii="Cambria Math" w:hAnsi="Cambria Math" w:cstheme="minorHAnsi"/>
                        </w:rPr>
                        <m:t>PA(x)</m:t>
                      </m:r>
                    </m:e>
                    <m:sup>
                      <m:r>
                        <w:rPr>
                          <w:rFonts w:ascii="Cambria Math" w:hAnsi="Cambria Math" w:cstheme="minorHAnsi"/>
                        </w:rPr>
                        <m:t>t</m:t>
                      </m:r>
                    </m:sup>
                  </m:sSup>
                </m:sup>
              </m:sSup>
            </m:oMath>
          </w:p>
        </w:tc>
        <w:tc>
          <w:tcPr>
            <w:tcW w:w="1015" w:type="dxa"/>
          </w:tcPr>
          <w:p w14:paraId="621B391E" w14:textId="67E8E9B7" w:rsidR="00111025" w:rsidRPr="00A40217" w:rsidRDefault="00111025" w:rsidP="00111025">
            <w:pPr>
              <w:spacing w:after="200"/>
              <w:jc w:val="right"/>
              <w:rPr>
                <w:rFonts w:cstheme="minorHAnsi"/>
              </w:rPr>
            </w:pPr>
          </w:p>
        </w:tc>
      </w:tr>
    </w:tbl>
    <w:p w14:paraId="2E73155F" w14:textId="26F30666" w:rsidR="00111025" w:rsidRPr="00A40217" w:rsidRDefault="00111025" w:rsidP="00111025">
      <w:pPr>
        <w:rPr>
          <w:rFonts w:cstheme="minorHAnsi"/>
        </w:rPr>
      </w:pPr>
      <w:r w:rsidRPr="00A40217">
        <w:rPr>
          <w:rFonts w:cstheme="minorHAnsi"/>
        </w:rPr>
        <w:t xml:space="preserve">where, </w:t>
      </w:r>
      <w:r w:rsidRPr="00A40217">
        <w:rPr>
          <w:rFonts w:cstheme="minorHAnsi"/>
          <w:i/>
        </w:rPr>
        <w:t>t</w:t>
      </w:r>
      <w:r w:rsidRPr="00A40217">
        <w:rPr>
          <w:rFonts w:cstheme="minorHAnsi"/>
        </w:rPr>
        <w:t xml:space="preserve"> is the transformation of exposure representing power transformation with a value of 0.25, 0.375, 0.5, and 0.75. </w:t>
      </w:r>
      <w:r w:rsidR="00BB3B3F">
        <w:rPr>
          <w:rFonts w:cstheme="minorHAnsi"/>
        </w:rPr>
        <w:t xml:space="preserve">Figure 4 </w:t>
      </w:r>
      <w:r w:rsidRPr="00A40217">
        <w:rPr>
          <w:rFonts w:cstheme="minorHAnsi"/>
        </w:rPr>
        <w:t>presents dose-response relationships for walking reported by Kelly et al. (2014), using different power transformations. For single-point estimates, health effects will be carried out using square-</w:t>
      </w:r>
      <w:proofErr w:type="spellStart"/>
      <w:r w:rsidRPr="00A40217">
        <w:rPr>
          <w:rFonts w:cstheme="minorHAnsi"/>
        </w:rPr>
        <w:t>root</w:t>
      </w:r>
      <w:proofErr w:type="spellEnd"/>
      <w:r w:rsidRPr="00A40217">
        <w:rPr>
          <w:rFonts w:cstheme="minorHAnsi"/>
        </w:rPr>
        <w:t xml:space="preserve"> transformation (t=0.5). The non-linear functions imply that the relative risk reduction for a given increment in physical activity will be higher at lower levels of physical activity and lower at higher levels of physical activity. </w:t>
      </w:r>
    </w:p>
    <w:p w14:paraId="1007AF7D" w14:textId="77777777" w:rsidR="00111025" w:rsidRPr="00A40217" w:rsidRDefault="00111025" w:rsidP="00111025">
      <w:pPr>
        <w:keepNext/>
        <w:jc w:val="center"/>
        <w:rPr>
          <w:rFonts w:cstheme="minorHAnsi"/>
        </w:rPr>
      </w:pPr>
      <w:r w:rsidRPr="00A40217">
        <w:rPr>
          <w:rFonts w:cstheme="minorHAnsi"/>
          <w:noProof/>
          <w:lang w:val="en-GB" w:eastAsia="en-GB"/>
        </w:rPr>
        <w:lastRenderedPageBreak/>
        <w:drawing>
          <wp:inline distT="0" distB="0" distL="0" distR="0" wp14:anchorId="71858604" wp14:editId="2A733B12">
            <wp:extent cx="4360703" cy="2748992"/>
            <wp:effectExtent l="0" t="0" r="190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62537" cy="2750148"/>
                    </a:xfrm>
                    <a:prstGeom prst="rect">
                      <a:avLst/>
                    </a:prstGeom>
                  </pic:spPr>
                </pic:pic>
              </a:graphicData>
            </a:graphic>
          </wp:inline>
        </w:drawing>
      </w:r>
    </w:p>
    <w:p w14:paraId="11E3F6F3" w14:textId="1935379C" w:rsidR="00111025" w:rsidRPr="00A40217" w:rsidRDefault="00111025" w:rsidP="00111025">
      <w:pPr>
        <w:pStyle w:val="Caption"/>
        <w:jc w:val="center"/>
        <w:rPr>
          <w:rFonts w:asciiTheme="minorHAnsi" w:hAnsiTheme="minorHAnsi" w:cstheme="minorHAnsi"/>
        </w:rPr>
      </w:pPr>
      <w:bookmarkStart w:id="21" w:name="_Ref428438506"/>
      <w:bookmarkStart w:id="22" w:name="_Toc476818696"/>
      <w:bookmarkStart w:id="23" w:name="_Toc424301853"/>
      <w:r w:rsidRPr="00A40217">
        <w:rPr>
          <w:rFonts w:asciiTheme="minorHAnsi" w:hAnsiTheme="minorHAnsi" w:cstheme="minorHAnsi"/>
        </w:rPr>
        <w:t>Figure</w:t>
      </w:r>
      <w:bookmarkEnd w:id="21"/>
      <w:r w:rsidR="009161CE" w:rsidRPr="00A40217">
        <w:rPr>
          <w:rFonts w:asciiTheme="minorHAnsi" w:hAnsiTheme="minorHAnsi" w:cstheme="minorHAnsi"/>
        </w:rPr>
        <w:t xml:space="preserve"> 4</w:t>
      </w:r>
      <w:r w:rsidRPr="00A40217">
        <w:rPr>
          <w:rFonts w:asciiTheme="minorHAnsi" w:hAnsiTheme="minorHAnsi" w:cstheme="minorHAnsi"/>
        </w:rPr>
        <w:t>: Dose-response relationship between weekly travel-based physical activity and all-cause mortality using four ways of exposure transformation</w:t>
      </w:r>
      <w:bookmarkEnd w:id="22"/>
    </w:p>
    <w:bookmarkEnd w:id="23"/>
    <w:p w14:paraId="2E6FBE3C" w14:textId="77777777" w:rsidR="00111025" w:rsidRPr="00A40217" w:rsidRDefault="00111025" w:rsidP="00111025">
      <w:pPr>
        <w:rPr>
          <w:rFonts w:cstheme="minorHAnsi"/>
        </w:rPr>
      </w:pPr>
    </w:p>
    <w:p w14:paraId="6217E63E" w14:textId="77777777" w:rsidR="0093093E" w:rsidRPr="00A40217" w:rsidRDefault="0093093E" w:rsidP="00A31326">
      <w:pPr>
        <w:pStyle w:val="Heading2"/>
        <w:ind w:left="578" w:hanging="578"/>
        <w:rPr>
          <w:rFonts w:asciiTheme="minorHAnsi" w:hAnsiTheme="minorHAnsi" w:cstheme="minorHAnsi"/>
        </w:rPr>
      </w:pPr>
      <w:bookmarkStart w:id="24" w:name="_Ref469572078"/>
      <w:bookmarkStart w:id="25" w:name="_Toc85106185"/>
      <w:r w:rsidRPr="00A40217">
        <w:rPr>
          <w:rFonts w:asciiTheme="minorHAnsi" w:hAnsiTheme="minorHAnsi" w:cstheme="minorHAnsi"/>
        </w:rPr>
        <w:t>Integrated Injury and Physical Activity Model</w:t>
      </w:r>
      <w:bookmarkEnd w:id="24"/>
      <w:bookmarkEnd w:id="25"/>
    </w:p>
    <w:p w14:paraId="49E8B12A" w14:textId="177B6E92" w:rsidR="0093093E" w:rsidRPr="00A40217" w:rsidRDefault="0093093E" w:rsidP="0093093E">
      <w:pPr>
        <w:rPr>
          <w:rFonts w:cstheme="minorHAnsi"/>
        </w:rPr>
      </w:pPr>
      <w:r w:rsidRPr="00A40217">
        <w:rPr>
          <w:rFonts w:cstheme="minorHAnsi"/>
        </w:rPr>
        <w:t>For future scenarios, health burden from injuries and physical activity have been modelled using an integrated framework for the two risk factors. This was achieved using mode-specific travel time as exposure variable for injury modelling, which is the same exposure parameter used for modelling health impacts of physical activit</w:t>
      </w:r>
      <w:r w:rsidR="009161CE" w:rsidRPr="00A40217">
        <w:rPr>
          <w:rFonts w:cstheme="minorHAnsi"/>
        </w:rPr>
        <w:t>y</w:t>
      </w:r>
      <w:r w:rsidRPr="00A40217">
        <w:rPr>
          <w:rFonts w:cstheme="minorHAnsi"/>
        </w:rPr>
        <w:t>. The mode-specific travel time is estimated using trip rate, sex-specific mode shares, and sex- and mode-specific average trip travel time. For modelling future scenarios, all parameters are assumed to be constant except the mode shares. The following sub-sections describe the injury model and the input parameters required by the model. The health impact estimates attributed to physical activity follow the same modelling framework as described in section 1.10, and the exposure input overlap with those of the injury model.</w:t>
      </w:r>
    </w:p>
    <w:p w14:paraId="7EE16D86" w14:textId="77777777" w:rsidR="0093093E" w:rsidRPr="00A40217" w:rsidRDefault="0093093E" w:rsidP="0093093E">
      <w:pPr>
        <w:pStyle w:val="Heading4"/>
        <w:numPr>
          <w:ilvl w:val="0"/>
          <w:numId w:val="0"/>
        </w:numPr>
        <w:ind w:left="864" w:hanging="864"/>
        <w:rPr>
          <w:rFonts w:asciiTheme="minorHAnsi" w:hAnsiTheme="minorHAnsi" w:cstheme="minorHAnsi"/>
        </w:rPr>
      </w:pPr>
      <w:bookmarkStart w:id="26" w:name="_Ref433627498"/>
      <w:r w:rsidRPr="00A40217">
        <w:rPr>
          <w:rFonts w:asciiTheme="minorHAnsi" w:hAnsiTheme="minorHAnsi" w:cstheme="minorHAnsi"/>
        </w:rPr>
        <w:t>Injury Model</w:t>
      </w:r>
      <w:bookmarkEnd w:id="26"/>
    </w:p>
    <w:p w14:paraId="2933A2A5" w14:textId="3AC657B5" w:rsidR="0093093E" w:rsidRPr="00A40217" w:rsidRDefault="0093093E" w:rsidP="0093093E">
      <w:pPr>
        <w:spacing w:after="200"/>
        <w:rPr>
          <w:rFonts w:cstheme="minorHAnsi"/>
        </w:rPr>
      </w:pPr>
      <w:r w:rsidRPr="00A40217">
        <w:rPr>
          <w:rFonts w:cstheme="minorHAnsi"/>
        </w:rPr>
        <w:t xml:space="preserve">Baseline estimates of road traffic injuries were estimated using deaths data reported by the police department, and age-distribution and DALYs-to-deaths ratios provided by GBD – 2010. For future scenarios, with alternate travel scenarios, the number of fatalities </w:t>
      </w:r>
      <w:proofErr w:type="gramStart"/>
      <w:r w:rsidRPr="00A40217">
        <w:rPr>
          <w:rFonts w:cstheme="minorHAnsi"/>
        </w:rPr>
        <w:t>have</w:t>
      </w:r>
      <w:proofErr w:type="gramEnd"/>
      <w:r w:rsidRPr="00A40217">
        <w:rPr>
          <w:rFonts w:cstheme="minorHAnsi"/>
        </w:rPr>
        <w:t xml:space="preserve"> been </w:t>
      </w:r>
      <w:r w:rsidRPr="006215E6">
        <w:rPr>
          <w:rFonts w:cstheme="minorHAnsi"/>
        </w:rPr>
        <w:t>modelled. Elvik (2009) reviewed studies reporting non-linear relationship between traffic volume or travel distance of travel modes on one hand and their corresponding injury risk on the other hand. The general form of the relationships reported in the literature is given as:</w:t>
      </w: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015"/>
      </w:tblGrid>
      <w:tr w:rsidR="0093093E" w:rsidRPr="00A40217" w14:paraId="6CDD9C7D" w14:textId="77777777" w:rsidTr="00F02FAB">
        <w:tc>
          <w:tcPr>
            <w:tcW w:w="8075" w:type="dxa"/>
          </w:tcPr>
          <w:p w14:paraId="3CF35C3F" w14:textId="77777777" w:rsidR="0093093E" w:rsidRPr="00A40217" w:rsidRDefault="0093093E" w:rsidP="00F02FAB">
            <w:pPr>
              <w:spacing w:after="200"/>
              <w:jc w:val="center"/>
              <w:rPr>
                <w:rFonts w:cstheme="minorHAnsi"/>
              </w:rPr>
            </w:pPr>
            <m:oMathPara>
              <m:oMath>
                <m:r>
                  <w:rPr>
                    <w:rFonts w:ascii="Cambria Math" w:hAnsi="Cambria Math" w:cstheme="minorHAnsi"/>
                  </w:rPr>
                  <m:t>Number of accidents=α</m:t>
                </m:r>
                <m:sSubSup>
                  <m:sSubSupPr>
                    <m:ctrlPr>
                      <w:rPr>
                        <w:rFonts w:ascii="Cambria Math" w:hAnsi="Cambria Math" w:cstheme="minorHAnsi"/>
                        <w:i/>
                      </w:rPr>
                    </m:ctrlPr>
                  </m:sSubSupPr>
                  <m:e>
                    <m:r>
                      <w:rPr>
                        <w:rFonts w:ascii="Cambria Math" w:hAnsi="Cambria Math" w:cstheme="minorHAnsi"/>
                      </w:rPr>
                      <m:t>Q</m:t>
                    </m:r>
                  </m:e>
                  <m:sub>
                    <m:r>
                      <w:rPr>
                        <w:rFonts w:ascii="Cambria Math" w:hAnsi="Cambria Math" w:cstheme="minorHAnsi"/>
                      </w:rPr>
                      <m:t>MV</m:t>
                    </m:r>
                  </m:sub>
                  <m:sup>
                    <m:r>
                      <w:rPr>
                        <w:rFonts w:ascii="Cambria Math" w:hAnsi="Cambria Math" w:cstheme="minorHAnsi"/>
                      </w:rPr>
                      <m:t>β1</m:t>
                    </m:r>
                  </m:sup>
                </m:sSubSup>
                <m:sSubSup>
                  <m:sSubSupPr>
                    <m:ctrlPr>
                      <w:rPr>
                        <w:rFonts w:ascii="Cambria Math" w:hAnsi="Cambria Math" w:cstheme="minorHAnsi"/>
                        <w:i/>
                      </w:rPr>
                    </m:ctrlPr>
                  </m:sSubSupPr>
                  <m:e>
                    <m:r>
                      <w:rPr>
                        <w:rFonts w:ascii="Cambria Math" w:hAnsi="Cambria Math" w:cstheme="minorHAnsi"/>
                      </w:rPr>
                      <m:t>Q</m:t>
                    </m:r>
                  </m:e>
                  <m:sub>
                    <m:r>
                      <w:rPr>
                        <w:rFonts w:ascii="Cambria Math" w:hAnsi="Cambria Math" w:cstheme="minorHAnsi"/>
                      </w:rPr>
                      <m:t>PED</m:t>
                    </m:r>
                  </m:sub>
                  <m:sup>
                    <m:r>
                      <w:rPr>
                        <w:rFonts w:ascii="Cambria Math" w:hAnsi="Cambria Math" w:cstheme="minorHAnsi"/>
                      </w:rPr>
                      <m:t>β2</m:t>
                    </m:r>
                  </m:sup>
                </m:sSubSup>
              </m:oMath>
            </m:oMathPara>
          </w:p>
        </w:tc>
        <w:tc>
          <w:tcPr>
            <w:tcW w:w="1015" w:type="dxa"/>
          </w:tcPr>
          <w:p w14:paraId="5F26C197" w14:textId="6A2308E9" w:rsidR="0093093E" w:rsidRPr="00A40217" w:rsidRDefault="0093093E" w:rsidP="00F02FAB">
            <w:pPr>
              <w:spacing w:after="200"/>
              <w:jc w:val="right"/>
              <w:rPr>
                <w:rFonts w:cstheme="minorHAnsi"/>
              </w:rPr>
            </w:pPr>
          </w:p>
        </w:tc>
      </w:tr>
    </w:tbl>
    <w:p w14:paraId="0CC95110" w14:textId="77777777" w:rsidR="0093093E" w:rsidRPr="00A40217" w:rsidRDefault="0093093E" w:rsidP="0093093E">
      <w:pPr>
        <w:spacing w:after="200"/>
        <w:rPr>
          <w:rFonts w:cstheme="minorHAnsi"/>
        </w:rPr>
      </w:pPr>
      <w:r w:rsidRPr="00A40217">
        <w:rPr>
          <w:rFonts w:cstheme="minorHAnsi"/>
        </w:rPr>
        <w:t xml:space="preserve">In equation (20), </w:t>
      </w:r>
      <w:r w:rsidRPr="00A40217">
        <w:rPr>
          <w:rStyle w:val="Emphasis"/>
          <w:rFonts w:cstheme="minorHAnsi"/>
        </w:rPr>
        <w:t>Q</w:t>
      </w:r>
      <w:r w:rsidRPr="00A40217">
        <w:rPr>
          <w:rFonts w:cstheme="minorHAnsi"/>
          <w:vertAlign w:val="subscript"/>
        </w:rPr>
        <w:t>MV</w:t>
      </w:r>
      <w:r w:rsidRPr="00A40217">
        <w:rPr>
          <w:rFonts w:cstheme="minorHAnsi"/>
        </w:rPr>
        <w:t xml:space="preserve"> and </w:t>
      </w:r>
      <w:r w:rsidRPr="00A40217">
        <w:rPr>
          <w:rStyle w:val="Emphasis"/>
          <w:rFonts w:cstheme="minorHAnsi"/>
        </w:rPr>
        <w:t>Q</w:t>
      </w:r>
      <w:r w:rsidRPr="00A40217">
        <w:rPr>
          <w:rFonts w:cstheme="minorHAnsi"/>
          <w:vertAlign w:val="subscript"/>
        </w:rPr>
        <w:t>PED</w:t>
      </w:r>
      <w:r w:rsidRPr="00A40217">
        <w:rPr>
          <w:rFonts w:cstheme="minorHAnsi"/>
        </w:rPr>
        <w:t xml:space="preserve"> represent the exposure measure of motor vehicles and that of the pedestrians, respectively; </w:t>
      </w:r>
      <w:r w:rsidRPr="00A40217">
        <w:rPr>
          <w:rStyle w:val="Emphasis"/>
          <w:rFonts w:cstheme="minorHAnsi"/>
        </w:rPr>
        <w:t>α</w:t>
      </w:r>
      <w:r w:rsidRPr="00A40217">
        <w:rPr>
          <w:rFonts w:cstheme="minorHAnsi"/>
        </w:rPr>
        <w:t xml:space="preserve">, </w:t>
      </w:r>
      <w:r w:rsidRPr="00A40217">
        <w:rPr>
          <w:rStyle w:val="Emphasis"/>
          <w:rFonts w:cstheme="minorHAnsi"/>
        </w:rPr>
        <w:t>β</w:t>
      </w:r>
      <w:r w:rsidRPr="00A40217">
        <w:rPr>
          <w:rFonts w:cstheme="minorHAnsi"/>
          <w:vertAlign w:val="subscript"/>
        </w:rPr>
        <w:t>1</w:t>
      </w:r>
      <w:r w:rsidRPr="00A40217">
        <w:rPr>
          <w:rFonts w:cstheme="minorHAnsi"/>
        </w:rPr>
        <w:t xml:space="preserve"> and </w:t>
      </w:r>
      <w:r w:rsidRPr="00A40217">
        <w:rPr>
          <w:rStyle w:val="Emphasis"/>
          <w:rFonts w:cstheme="minorHAnsi"/>
        </w:rPr>
        <w:t>β</w:t>
      </w:r>
      <w:r w:rsidRPr="00A40217">
        <w:rPr>
          <w:rFonts w:cstheme="minorHAnsi"/>
          <w:vertAlign w:val="subscript"/>
        </w:rPr>
        <w:t>2</w:t>
      </w:r>
      <w:r w:rsidRPr="00A40217">
        <w:rPr>
          <w:rFonts w:cstheme="minorHAnsi"/>
        </w:rPr>
        <w:t xml:space="preserve"> are the reported coefficients.  The exposure measure can be mode-specific distance, volume, number of trips, or share of trips. According to the exponents of the exposure variable reported by Elvik from the review of literature, </w:t>
      </w:r>
      <w:r w:rsidRPr="00A40217">
        <w:rPr>
          <w:rStyle w:val="Emphasis"/>
          <w:rFonts w:cstheme="minorHAnsi"/>
        </w:rPr>
        <w:t xml:space="preserve">value of β is less than one for </w:t>
      </w:r>
      <w:r w:rsidRPr="00A40217">
        <w:rPr>
          <w:rStyle w:val="Emphasis"/>
          <w:rFonts w:cstheme="minorHAnsi"/>
        </w:rPr>
        <w:lastRenderedPageBreak/>
        <w:t>motor vehicles as well as for active travel modes</w:t>
      </w:r>
      <w:r w:rsidRPr="00A40217">
        <w:rPr>
          <w:rFonts w:cstheme="minorHAnsi"/>
        </w:rPr>
        <w:t xml:space="preserve">. This implies that injury risk of pedestrians and cyclists are non-linearly related to their usage, with the former reducing as the latter increases. </w:t>
      </w:r>
    </w:p>
    <w:p w14:paraId="22378AC9" w14:textId="57C234DB" w:rsidR="0093093E" w:rsidRPr="00A40217" w:rsidRDefault="0093093E" w:rsidP="0093093E">
      <w:pPr>
        <w:spacing w:after="200"/>
        <w:rPr>
          <w:rFonts w:cstheme="minorHAnsi"/>
          <w:sz w:val="14"/>
          <w:szCs w:val="18"/>
        </w:rPr>
      </w:pPr>
      <w:r w:rsidRPr="00A40217">
        <w:rPr>
          <w:rFonts w:cstheme="minorHAnsi"/>
        </w:rPr>
        <w:t xml:space="preserve">Using the empirical relationship presented in equation </w:t>
      </w:r>
      <w:r w:rsidR="00BB3B3F">
        <w:rPr>
          <w:rFonts w:cstheme="minorHAnsi"/>
        </w:rPr>
        <w:t>above</w:t>
      </w:r>
      <w:r w:rsidRPr="00A40217">
        <w:rPr>
          <w:rFonts w:cstheme="minorHAnsi"/>
        </w:rPr>
        <w:t>, Elvik (2009) proposed a model to carry out exploratory analysis of number of crashes resulting from hypothetical scenarios with varying traffic volume of motorised and non-motorised modes. In the model, crashes were classified into four types depending on the type of vehicles involved— a) multiple motor vehicles; b) single motor vehicle; c) pedestrian and motor vehicles; d) cyclists and motor vehicles. For this study, a modified version of the model has been used which uses travel time as the measure of exposure. Combining c) and d) into one term, the modified model can be expressed as shown in</w:t>
      </w:r>
      <w:r w:rsidR="00BB3B3F">
        <w:rPr>
          <w:rFonts w:cstheme="minorHAnsi"/>
        </w:rPr>
        <w:t xml:space="preserve"> the following</w:t>
      </w:r>
      <w:r w:rsidRPr="00A40217">
        <w:rPr>
          <w:rFonts w:cstheme="minorHAnsi"/>
        </w:rPr>
        <w:t xml:space="preserve"> equation: </w:t>
      </w: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015"/>
      </w:tblGrid>
      <w:tr w:rsidR="0093093E" w:rsidRPr="00A40217" w14:paraId="4F0D7736" w14:textId="77777777" w:rsidTr="00F02FAB">
        <w:tc>
          <w:tcPr>
            <w:tcW w:w="8075" w:type="dxa"/>
          </w:tcPr>
          <w:p w14:paraId="47D40ECC" w14:textId="77777777" w:rsidR="0093093E" w:rsidRPr="00A40217" w:rsidRDefault="0093093E" w:rsidP="00F02FAB">
            <w:pPr>
              <w:spacing w:after="200"/>
              <w:rPr>
                <w:rFonts w:cstheme="minorHAnsi"/>
              </w:rPr>
            </w:pPr>
            <m:oMathPara>
              <m:oMath>
                <m:r>
                  <w:rPr>
                    <w:rFonts w:ascii="Cambria Math" w:hAnsi="Cambria Math" w:cstheme="minorHAnsi"/>
                    <w:sz w:val="18"/>
                    <w:szCs w:val="18"/>
                  </w:rPr>
                  <m:t>N=</m:t>
                </m:r>
                <m:nary>
                  <m:naryPr>
                    <m:chr m:val="∑"/>
                    <m:limLoc m:val="undOvr"/>
                    <m:supHide m:val="1"/>
                    <m:ctrlPr>
                      <w:rPr>
                        <w:rFonts w:ascii="Cambria Math" w:hAnsi="Cambria Math" w:cstheme="minorHAnsi"/>
                        <w:i/>
                        <w:sz w:val="18"/>
                        <w:szCs w:val="18"/>
                      </w:rPr>
                    </m:ctrlPr>
                  </m:naryPr>
                  <m:sub>
                    <m:r>
                      <w:rPr>
                        <w:rFonts w:ascii="Cambria Math" w:hAnsi="Cambria Math" w:cstheme="minorHAnsi"/>
                        <w:sz w:val="18"/>
                        <w:szCs w:val="18"/>
                      </w:rPr>
                      <m:t>i</m:t>
                    </m:r>
                  </m:sub>
                  <m:sup/>
                  <m:e>
                    <m:nary>
                      <m:naryPr>
                        <m:chr m:val="∑"/>
                        <m:limLoc m:val="undOvr"/>
                        <m:supHide m:val="1"/>
                        <m:ctrlPr>
                          <w:rPr>
                            <w:rFonts w:ascii="Cambria Math" w:hAnsi="Cambria Math" w:cstheme="minorHAnsi"/>
                            <w:i/>
                            <w:sz w:val="18"/>
                            <w:szCs w:val="18"/>
                          </w:rPr>
                        </m:ctrlPr>
                      </m:naryPr>
                      <m:sub>
                        <m:r>
                          <w:rPr>
                            <w:rFonts w:ascii="Cambria Math" w:hAnsi="Cambria Math" w:cstheme="minorHAnsi"/>
                            <w:sz w:val="18"/>
                            <w:szCs w:val="18"/>
                          </w:rPr>
                          <m:t>j</m:t>
                        </m:r>
                      </m:sub>
                      <m:sup/>
                      <m:e>
                        <m:sSub>
                          <m:sSubPr>
                            <m:ctrlPr>
                              <w:rPr>
                                <w:rFonts w:ascii="Cambria Math" w:hAnsi="Cambria Math" w:cstheme="minorHAnsi"/>
                                <w:i/>
                                <w:sz w:val="18"/>
                                <w:szCs w:val="18"/>
                              </w:rPr>
                            </m:ctrlPr>
                          </m:sSubPr>
                          <m:e>
                            <m:r>
                              <w:rPr>
                                <w:rFonts w:ascii="Cambria Math" w:hAnsi="Cambria Math" w:cstheme="minorHAnsi"/>
                                <w:sz w:val="18"/>
                                <w:szCs w:val="18"/>
                              </w:rPr>
                              <m:t>n</m:t>
                            </m:r>
                          </m:e>
                          <m:sub>
                            <m:r>
                              <w:rPr>
                                <w:rFonts w:ascii="Cambria Math" w:hAnsi="Cambria Math" w:cstheme="minorHAnsi"/>
                                <w:sz w:val="18"/>
                                <w:szCs w:val="18"/>
                              </w:rPr>
                              <m:t>i,j</m:t>
                            </m:r>
                          </m:sub>
                        </m:sSub>
                        <m:r>
                          <w:rPr>
                            <w:rFonts w:ascii="Cambria Math" w:hAnsi="Cambria Math" w:cstheme="minorHAnsi"/>
                            <w:sz w:val="18"/>
                            <w:szCs w:val="18"/>
                          </w:rPr>
                          <m:t>×</m:t>
                        </m:r>
                        <m:sSup>
                          <m:sSupPr>
                            <m:ctrlPr>
                              <w:rPr>
                                <w:rFonts w:ascii="Cambria Math" w:hAnsi="Cambria Math" w:cstheme="minorHAnsi"/>
                                <w:i/>
                                <w:sz w:val="18"/>
                                <w:szCs w:val="18"/>
                              </w:rPr>
                            </m:ctrlPr>
                          </m:sSupPr>
                          <m:e>
                            <m:d>
                              <m:dPr>
                                <m:begChr m:val="["/>
                                <m:endChr m:val="]"/>
                                <m:ctrlPr>
                                  <w:rPr>
                                    <w:rFonts w:ascii="Cambria Math" w:hAnsi="Cambria Math" w:cstheme="minorHAnsi"/>
                                    <w:i/>
                                    <w:sz w:val="18"/>
                                    <w:szCs w:val="18"/>
                                  </w:rPr>
                                </m:ctrlPr>
                              </m:dPr>
                              <m:e>
                                <m:f>
                                  <m:fPr>
                                    <m:ctrlPr>
                                      <w:rPr>
                                        <w:rFonts w:ascii="Cambria Math" w:hAnsi="Cambria Math" w:cstheme="minorHAnsi"/>
                                        <w:i/>
                                        <w:sz w:val="18"/>
                                        <w:szCs w:val="18"/>
                                      </w:rPr>
                                    </m:ctrlPr>
                                  </m:fPr>
                                  <m:num>
                                    <m:sSub>
                                      <m:sSubPr>
                                        <m:ctrlPr>
                                          <w:rPr>
                                            <w:rFonts w:ascii="Cambria Math" w:hAnsi="Cambria Math" w:cstheme="minorHAnsi"/>
                                            <w:i/>
                                            <w:sz w:val="18"/>
                                            <w:szCs w:val="18"/>
                                          </w:rPr>
                                        </m:ctrlPr>
                                      </m:sSubPr>
                                      <m:e>
                                        <m:r>
                                          <w:rPr>
                                            <w:rFonts w:ascii="Cambria Math" w:hAnsi="Cambria Math" w:cstheme="minorHAnsi"/>
                                            <w:sz w:val="18"/>
                                            <w:szCs w:val="18"/>
                                          </w:rPr>
                                          <m:t>T</m:t>
                                        </m:r>
                                      </m:e>
                                      <m:sub>
                                        <m:r>
                                          <w:rPr>
                                            <w:rFonts w:ascii="Cambria Math" w:hAnsi="Cambria Math" w:cstheme="minorHAnsi"/>
                                            <w:sz w:val="18"/>
                                            <w:szCs w:val="18"/>
                                          </w:rPr>
                                          <m:t>i,f</m:t>
                                        </m:r>
                                      </m:sub>
                                    </m:sSub>
                                  </m:num>
                                  <m:den>
                                    <m:sSub>
                                      <m:sSubPr>
                                        <m:ctrlPr>
                                          <w:rPr>
                                            <w:rFonts w:ascii="Cambria Math" w:hAnsi="Cambria Math" w:cstheme="minorHAnsi"/>
                                            <w:i/>
                                            <w:sz w:val="18"/>
                                            <w:szCs w:val="18"/>
                                          </w:rPr>
                                        </m:ctrlPr>
                                      </m:sSubPr>
                                      <m:e>
                                        <m:r>
                                          <w:rPr>
                                            <w:rFonts w:ascii="Cambria Math" w:hAnsi="Cambria Math" w:cstheme="minorHAnsi"/>
                                            <w:sz w:val="18"/>
                                            <w:szCs w:val="18"/>
                                          </w:rPr>
                                          <m:t>T</m:t>
                                        </m:r>
                                      </m:e>
                                      <m:sub>
                                        <m:r>
                                          <w:rPr>
                                            <w:rFonts w:ascii="Cambria Math" w:hAnsi="Cambria Math" w:cstheme="minorHAnsi"/>
                                            <w:sz w:val="18"/>
                                            <w:szCs w:val="18"/>
                                          </w:rPr>
                                          <m:t>i,b</m:t>
                                        </m:r>
                                      </m:sub>
                                    </m:sSub>
                                  </m:den>
                                </m:f>
                              </m:e>
                            </m:d>
                          </m:e>
                          <m:sup>
                            <m:sSub>
                              <m:sSubPr>
                                <m:ctrlPr>
                                  <w:rPr>
                                    <w:rFonts w:ascii="Cambria Math" w:hAnsi="Cambria Math" w:cstheme="minorHAnsi"/>
                                    <w:i/>
                                    <w:sz w:val="18"/>
                                    <w:szCs w:val="18"/>
                                  </w:rPr>
                                </m:ctrlPr>
                              </m:sSubPr>
                              <m:e>
                                <m:r>
                                  <w:rPr>
                                    <w:rFonts w:ascii="Cambria Math" w:hAnsi="Cambria Math" w:cstheme="minorHAnsi"/>
                                    <w:sz w:val="18"/>
                                    <w:szCs w:val="18"/>
                                  </w:rPr>
                                  <m:t>∅</m:t>
                                </m:r>
                              </m:e>
                              <m:sub>
                                <m:r>
                                  <w:rPr>
                                    <w:rFonts w:ascii="Cambria Math" w:hAnsi="Cambria Math" w:cstheme="minorHAnsi"/>
                                    <w:sz w:val="18"/>
                                    <w:szCs w:val="18"/>
                                  </w:rPr>
                                  <m:t>mv</m:t>
                                </m:r>
                              </m:sub>
                            </m:sSub>
                          </m:sup>
                        </m:sSup>
                        <m:r>
                          <w:rPr>
                            <w:rFonts w:ascii="Cambria Math" w:hAnsi="Cambria Math" w:cstheme="minorHAnsi"/>
                            <w:sz w:val="18"/>
                            <w:szCs w:val="18"/>
                          </w:rPr>
                          <m:t>×</m:t>
                        </m:r>
                        <m:sSup>
                          <m:sSupPr>
                            <m:ctrlPr>
                              <w:rPr>
                                <w:rFonts w:ascii="Cambria Math" w:hAnsi="Cambria Math" w:cstheme="minorHAnsi"/>
                                <w:i/>
                                <w:sz w:val="18"/>
                                <w:szCs w:val="18"/>
                              </w:rPr>
                            </m:ctrlPr>
                          </m:sSupPr>
                          <m:e>
                            <m:d>
                              <m:dPr>
                                <m:begChr m:val="["/>
                                <m:endChr m:val="]"/>
                                <m:ctrlPr>
                                  <w:rPr>
                                    <w:rFonts w:ascii="Cambria Math" w:hAnsi="Cambria Math" w:cstheme="minorHAnsi"/>
                                    <w:i/>
                                    <w:sz w:val="18"/>
                                    <w:szCs w:val="18"/>
                                  </w:rPr>
                                </m:ctrlPr>
                              </m:dPr>
                              <m:e>
                                <m:f>
                                  <m:fPr>
                                    <m:ctrlPr>
                                      <w:rPr>
                                        <w:rFonts w:ascii="Cambria Math" w:hAnsi="Cambria Math" w:cstheme="minorHAnsi"/>
                                        <w:i/>
                                        <w:sz w:val="18"/>
                                        <w:szCs w:val="18"/>
                                      </w:rPr>
                                    </m:ctrlPr>
                                  </m:fPr>
                                  <m:num>
                                    <m:sSub>
                                      <m:sSubPr>
                                        <m:ctrlPr>
                                          <w:rPr>
                                            <w:rFonts w:ascii="Cambria Math" w:hAnsi="Cambria Math" w:cstheme="minorHAnsi"/>
                                            <w:i/>
                                            <w:sz w:val="18"/>
                                            <w:szCs w:val="18"/>
                                          </w:rPr>
                                        </m:ctrlPr>
                                      </m:sSubPr>
                                      <m:e>
                                        <m:r>
                                          <w:rPr>
                                            <w:rFonts w:ascii="Cambria Math" w:hAnsi="Cambria Math" w:cstheme="minorHAnsi"/>
                                            <w:sz w:val="18"/>
                                            <w:szCs w:val="18"/>
                                          </w:rPr>
                                          <m:t>T</m:t>
                                        </m:r>
                                      </m:e>
                                      <m:sub>
                                        <m:r>
                                          <w:rPr>
                                            <w:rFonts w:ascii="Cambria Math" w:hAnsi="Cambria Math" w:cstheme="minorHAnsi"/>
                                            <w:sz w:val="18"/>
                                            <w:szCs w:val="18"/>
                                          </w:rPr>
                                          <m:t>j,f</m:t>
                                        </m:r>
                                      </m:sub>
                                    </m:sSub>
                                  </m:num>
                                  <m:den>
                                    <m:sSub>
                                      <m:sSubPr>
                                        <m:ctrlPr>
                                          <w:rPr>
                                            <w:rFonts w:ascii="Cambria Math" w:hAnsi="Cambria Math" w:cstheme="minorHAnsi"/>
                                            <w:i/>
                                            <w:sz w:val="18"/>
                                            <w:szCs w:val="18"/>
                                          </w:rPr>
                                        </m:ctrlPr>
                                      </m:sSubPr>
                                      <m:e>
                                        <m:r>
                                          <w:rPr>
                                            <w:rFonts w:ascii="Cambria Math" w:hAnsi="Cambria Math" w:cstheme="minorHAnsi"/>
                                            <w:sz w:val="18"/>
                                            <w:szCs w:val="18"/>
                                          </w:rPr>
                                          <m:t>T</m:t>
                                        </m:r>
                                      </m:e>
                                      <m:sub>
                                        <m:r>
                                          <w:rPr>
                                            <w:rFonts w:ascii="Cambria Math" w:hAnsi="Cambria Math" w:cstheme="minorHAnsi"/>
                                            <w:sz w:val="18"/>
                                            <w:szCs w:val="18"/>
                                          </w:rPr>
                                          <m:t>j,b</m:t>
                                        </m:r>
                                      </m:sub>
                                    </m:sSub>
                                  </m:den>
                                </m:f>
                              </m:e>
                            </m:d>
                          </m:e>
                          <m:sup>
                            <m:sSub>
                              <m:sSubPr>
                                <m:ctrlPr>
                                  <w:rPr>
                                    <w:rFonts w:ascii="Cambria Math" w:hAnsi="Cambria Math" w:cstheme="minorHAnsi"/>
                                    <w:i/>
                                    <w:sz w:val="18"/>
                                    <w:szCs w:val="18"/>
                                  </w:rPr>
                                </m:ctrlPr>
                              </m:sSubPr>
                              <m:e>
                                <m:r>
                                  <w:rPr>
                                    <w:rFonts w:ascii="Cambria Math" w:hAnsi="Cambria Math" w:cstheme="minorHAnsi"/>
                                    <w:sz w:val="18"/>
                                    <w:szCs w:val="18"/>
                                  </w:rPr>
                                  <m:t>∅</m:t>
                                </m:r>
                              </m:e>
                              <m:sub>
                                <m:r>
                                  <w:rPr>
                                    <w:rFonts w:ascii="Cambria Math" w:hAnsi="Cambria Math" w:cstheme="minorHAnsi"/>
                                    <w:sz w:val="18"/>
                                    <w:szCs w:val="18"/>
                                  </w:rPr>
                                  <m:t>mv</m:t>
                                </m:r>
                              </m:sub>
                            </m:sSub>
                          </m:sup>
                        </m:sSup>
                      </m:e>
                    </m:nary>
                  </m:e>
                </m:nary>
                <m:r>
                  <w:rPr>
                    <w:rFonts w:ascii="Cambria Math" w:hAnsi="Cambria Math" w:cstheme="minorHAnsi"/>
                    <w:sz w:val="18"/>
                    <w:szCs w:val="18"/>
                  </w:rPr>
                  <m:t>+</m:t>
                </m:r>
                <m:nary>
                  <m:naryPr>
                    <m:chr m:val="∑"/>
                    <m:limLoc m:val="undOvr"/>
                    <m:supHide m:val="1"/>
                    <m:ctrlPr>
                      <w:rPr>
                        <w:rFonts w:ascii="Cambria Math" w:hAnsi="Cambria Math" w:cstheme="minorHAnsi"/>
                        <w:i/>
                        <w:sz w:val="18"/>
                        <w:szCs w:val="18"/>
                      </w:rPr>
                    </m:ctrlPr>
                  </m:naryPr>
                  <m:sub>
                    <m:r>
                      <w:rPr>
                        <w:rFonts w:ascii="Cambria Math" w:hAnsi="Cambria Math" w:cstheme="minorHAnsi"/>
                        <w:sz w:val="18"/>
                        <w:szCs w:val="18"/>
                      </w:rPr>
                      <m:t>i</m:t>
                    </m:r>
                  </m:sub>
                  <m:sup/>
                  <m:e>
                    <m:sSub>
                      <m:sSubPr>
                        <m:ctrlPr>
                          <w:rPr>
                            <w:rFonts w:ascii="Cambria Math" w:hAnsi="Cambria Math" w:cstheme="minorHAnsi"/>
                            <w:i/>
                            <w:sz w:val="18"/>
                            <w:szCs w:val="18"/>
                          </w:rPr>
                        </m:ctrlPr>
                      </m:sSubPr>
                      <m:e>
                        <m:r>
                          <w:rPr>
                            <w:rFonts w:ascii="Cambria Math" w:hAnsi="Cambria Math" w:cstheme="minorHAnsi"/>
                            <w:sz w:val="18"/>
                            <w:szCs w:val="18"/>
                          </w:rPr>
                          <m:t>n</m:t>
                        </m:r>
                      </m:e>
                      <m:sub>
                        <m:r>
                          <w:rPr>
                            <w:rFonts w:ascii="Cambria Math" w:hAnsi="Cambria Math" w:cstheme="minorHAnsi"/>
                            <w:sz w:val="18"/>
                            <w:szCs w:val="18"/>
                          </w:rPr>
                          <m:t>i,0</m:t>
                        </m:r>
                      </m:sub>
                    </m:sSub>
                    <m:r>
                      <w:rPr>
                        <w:rFonts w:ascii="Cambria Math" w:hAnsi="Cambria Math" w:cstheme="minorHAnsi"/>
                        <w:sz w:val="18"/>
                        <w:szCs w:val="18"/>
                      </w:rPr>
                      <m:t>×</m:t>
                    </m:r>
                    <m:sSup>
                      <m:sSupPr>
                        <m:ctrlPr>
                          <w:rPr>
                            <w:rFonts w:ascii="Cambria Math" w:hAnsi="Cambria Math" w:cstheme="minorHAnsi"/>
                            <w:i/>
                            <w:sz w:val="18"/>
                            <w:szCs w:val="18"/>
                          </w:rPr>
                        </m:ctrlPr>
                      </m:sSupPr>
                      <m:e>
                        <m:d>
                          <m:dPr>
                            <m:begChr m:val="["/>
                            <m:endChr m:val="]"/>
                            <m:ctrlPr>
                              <w:rPr>
                                <w:rFonts w:ascii="Cambria Math" w:hAnsi="Cambria Math" w:cstheme="minorHAnsi"/>
                                <w:i/>
                                <w:sz w:val="18"/>
                                <w:szCs w:val="18"/>
                              </w:rPr>
                            </m:ctrlPr>
                          </m:dPr>
                          <m:e>
                            <m:f>
                              <m:fPr>
                                <m:ctrlPr>
                                  <w:rPr>
                                    <w:rFonts w:ascii="Cambria Math" w:hAnsi="Cambria Math" w:cstheme="minorHAnsi"/>
                                    <w:i/>
                                    <w:sz w:val="18"/>
                                    <w:szCs w:val="18"/>
                                  </w:rPr>
                                </m:ctrlPr>
                              </m:fPr>
                              <m:num>
                                <m:sSub>
                                  <m:sSubPr>
                                    <m:ctrlPr>
                                      <w:rPr>
                                        <w:rFonts w:ascii="Cambria Math" w:hAnsi="Cambria Math" w:cstheme="minorHAnsi"/>
                                        <w:i/>
                                        <w:sz w:val="18"/>
                                        <w:szCs w:val="18"/>
                                      </w:rPr>
                                    </m:ctrlPr>
                                  </m:sSubPr>
                                  <m:e>
                                    <m:r>
                                      <w:rPr>
                                        <w:rFonts w:ascii="Cambria Math" w:hAnsi="Cambria Math" w:cstheme="minorHAnsi"/>
                                        <w:sz w:val="18"/>
                                        <w:szCs w:val="18"/>
                                      </w:rPr>
                                      <m:t>T</m:t>
                                    </m:r>
                                  </m:e>
                                  <m:sub>
                                    <m:r>
                                      <w:rPr>
                                        <w:rFonts w:ascii="Cambria Math" w:hAnsi="Cambria Math" w:cstheme="minorHAnsi"/>
                                        <w:sz w:val="18"/>
                                        <w:szCs w:val="18"/>
                                      </w:rPr>
                                      <m:t>i,f</m:t>
                                    </m:r>
                                  </m:sub>
                                </m:sSub>
                              </m:num>
                              <m:den>
                                <m:sSub>
                                  <m:sSubPr>
                                    <m:ctrlPr>
                                      <w:rPr>
                                        <w:rFonts w:ascii="Cambria Math" w:hAnsi="Cambria Math" w:cstheme="minorHAnsi"/>
                                        <w:i/>
                                        <w:sz w:val="18"/>
                                        <w:szCs w:val="18"/>
                                      </w:rPr>
                                    </m:ctrlPr>
                                  </m:sSubPr>
                                  <m:e>
                                    <m:r>
                                      <w:rPr>
                                        <w:rFonts w:ascii="Cambria Math" w:hAnsi="Cambria Math" w:cstheme="minorHAnsi"/>
                                        <w:sz w:val="18"/>
                                        <w:szCs w:val="18"/>
                                      </w:rPr>
                                      <m:t>T</m:t>
                                    </m:r>
                                  </m:e>
                                  <m:sub>
                                    <m:r>
                                      <w:rPr>
                                        <w:rFonts w:ascii="Cambria Math" w:hAnsi="Cambria Math" w:cstheme="minorHAnsi"/>
                                        <w:sz w:val="18"/>
                                        <w:szCs w:val="18"/>
                                      </w:rPr>
                                      <m:t>i,b</m:t>
                                    </m:r>
                                  </m:sub>
                                </m:sSub>
                              </m:den>
                            </m:f>
                          </m:e>
                        </m:d>
                      </m:e>
                      <m:sup>
                        <m:sSub>
                          <m:sSubPr>
                            <m:ctrlPr>
                              <w:rPr>
                                <w:rFonts w:ascii="Cambria Math" w:hAnsi="Cambria Math" w:cstheme="minorHAnsi"/>
                                <w:i/>
                                <w:sz w:val="18"/>
                                <w:szCs w:val="18"/>
                              </w:rPr>
                            </m:ctrlPr>
                          </m:sSubPr>
                          <m:e>
                            <m:r>
                              <w:rPr>
                                <w:rFonts w:ascii="Cambria Math" w:hAnsi="Cambria Math" w:cstheme="minorHAnsi"/>
                                <w:sz w:val="18"/>
                                <w:szCs w:val="18"/>
                              </w:rPr>
                              <m:t>∅</m:t>
                            </m:r>
                          </m:e>
                          <m:sub>
                            <m:r>
                              <w:rPr>
                                <w:rFonts w:ascii="Cambria Math" w:hAnsi="Cambria Math" w:cstheme="minorHAnsi"/>
                                <w:sz w:val="18"/>
                                <w:szCs w:val="18"/>
                              </w:rPr>
                              <m:t>mm</m:t>
                            </m:r>
                          </m:sub>
                        </m:sSub>
                      </m:sup>
                    </m:sSup>
                  </m:e>
                </m:nary>
                <m:r>
                  <w:rPr>
                    <w:rFonts w:ascii="Cambria Math" w:hAnsi="Cambria Math" w:cstheme="minorHAnsi"/>
                    <w:sz w:val="18"/>
                    <w:szCs w:val="18"/>
                  </w:rPr>
                  <m:t>+</m:t>
                </m:r>
                <m:nary>
                  <m:naryPr>
                    <m:chr m:val="∑"/>
                    <m:limLoc m:val="undOvr"/>
                    <m:supHide m:val="1"/>
                    <m:ctrlPr>
                      <w:rPr>
                        <w:rFonts w:ascii="Cambria Math" w:hAnsi="Cambria Math" w:cstheme="minorHAnsi"/>
                        <w:i/>
                        <w:sz w:val="18"/>
                        <w:szCs w:val="18"/>
                      </w:rPr>
                    </m:ctrlPr>
                  </m:naryPr>
                  <m:sub>
                    <m:r>
                      <w:rPr>
                        <w:rFonts w:ascii="Cambria Math" w:hAnsi="Cambria Math" w:cstheme="minorHAnsi"/>
                        <w:sz w:val="18"/>
                        <w:szCs w:val="18"/>
                      </w:rPr>
                      <m:t>nm</m:t>
                    </m:r>
                  </m:sub>
                  <m:sup/>
                  <m:e>
                    <m:nary>
                      <m:naryPr>
                        <m:chr m:val="∑"/>
                        <m:limLoc m:val="undOvr"/>
                        <m:supHide m:val="1"/>
                        <m:ctrlPr>
                          <w:rPr>
                            <w:rFonts w:ascii="Cambria Math" w:hAnsi="Cambria Math" w:cstheme="minorHAnsi"/>
                            <w:i/>
                            <w:sz w:val="18"/>
                            <w:szCs w:val="18"/>
                          </w:rPr>
                        </m:ctrlPr>
                      </m:naryPr>
                      <m:sub>
                        <m:r>
                          <w:rPr>
                            <w:rFonts w:ascii="Cambria Math" w:hAnsi="Cambria Math" w:cstheme="minorHAnsi"/>
                            <w:sz w:val="18"/>
                            <w:szCs w:val="18"/>
                          </w:rPr>
                          <m:t>j</m:t>
                        </m:r>
                      </m:sub>
                      <m:sup/>
                      <m:e>
                        <m:sSub>
                          <m:sSubPr>
                            <m:ctrlPr>
                              <w:rPr>
                                <w:rFonts w:ascii="Cambria Math" w:hAnsi="Cambria Math" w:cstheme="minorHAnsi"/>
                                <w:i/>
                                <w:sz w:val="18"/>
                                <w:szCs w:val="18"/>
                              </w:rPr>
                            </m:ctrlPr>
                          </m:sSubPr>
                          <m:e>
                            <m:r>
                              <w:rPr>
                                <w:rFonts w:ascii="Cambria Math" w:hAnsi="Cambria Math" w:cstheme="minorHAnsi"/>
                                <w:sz w:val="18"/>
                                <w:szCs w:val="18"/>
                              </w:rPr>
                              <m:t>n</m:t>
                            </m:r>
                          </m:e>
                          <m:sub>
                            <m:r>
                              <w:rPr>
                                <w:rFonts w:ascii="Cambria Math" w:hAnsi="Cambria Math" w:cstheme="minorHAnsi"/>
                                <w:sz w:val="18"/>
                                <w:szCs w:val="18"/>
                              </w:rPr>
                              <m:t>nm,j</m:t>
                            </m:r>
                          </m:sub>
                        </m:sSub>
                        <m:r>
                          <w:rPr>
                            <w:rFonts w:ascii="Cambria Math" w:hAnsi="Cambria Math" w:cstheme="minorHAnsi"/>
                            <w:sz w:val="18"/>
                            <w:szCs w:val="18"/>
                          </w:rPr>
                          <m:t>×</m:t>
                        </m:r>
                        <m:sSup>
                          <m:sSupPr>
                            <m:ctrlPr>
                              <w:rPr>
                                <w:rFonts w:ascii="Cambria Math" w:hAnsi="Cambria Math" w:cstheme="minorHAnsi"/>
                                <w:i/>
                                <w:sz w:val="18"/>
                                <w:szCs w:val="18"/>
                              </w:rPr>
                            </m:ctrlPr>
                          </m:sSupPr>
                          <m:e>
                            <m:d>
                              <m:dPr>
                                <m:begChr m:val="["/>
                                <m:endChr m:val="]"/>
                                <m:ctrlPr>
                                  <w:rPr>
                                    <w:rFonts w:ascii="Cambria Math" w:hAnsi="Cambria Math" w:cstheme="minorHAnsi"/>
                                    <w:i/>
                                    <w:sz w:val="18"/>
                                    <w:szCs w:val="18"/>
                                  </w:rPr>
                                </m:ctrlPr>
                              </m:dPr>
                              <m:e>
                                <m:f>
                                  <m:fPr>
                                    <m:ctrlPr>
                                      <w:rPr>
                                        <w:rFonts w:ascii="Cambria Math" w:hAnsi="Cambria Math" w:cstheme="minorHAnsi"/>
                                        <w:i/>
                                        <w:sz w:val="18"/>
                                        <w:szCs w:val="18"/>
                                      </w:rPr>
                                    </m:ctrlPr>
                                  </m:fPr>
                                  <m:num>
                                    <m:sSub>
                                      <m:sSubPr>
                                        <m:ctrlPr>
                                          <w:rPr>
                                            <w:rFonts w:ascii="Cambria Math" w:hAnsi="Cambria Math" w:cstheme="minorHAnsi"/>
                                            <w:i/>
                                            <w:sz w:val="18"/>
                                            <w:szCs w:val="18"/>
                                          </w:rPr>
                                        </m:ctrlPr>
                                      </m:sSubPr>
                                      <m:e>
                                        <m:r>
                                          <w:rPr>
                                            <w:rFonts w:ascii="Cambria Math" w:hAnsi="Cambria Math" w:cstheme="minorHAnsi"/>
                                            <w:sz w:val="18"/>
                                            <w:szCs w:val="18"/>
                                          </w:rPr>
                                          <m:t>T</m:t>
                                        </m:r>
                                      </m:e>
                                      <m:sub>
                                        <m:r>
                                          <w:rPr>
                                            <w:rFonts w:ascii="Cambria Math" w:hAnsi="Cambria Math" w:cstheme="minorHAnsi"/>
                                            <w:sz w:val="18"/>
                                            <w:szCs w:val="18"/>
                                          </w:rPr>
                                          <m:t>nm,f</m:t>
                                        </m:r>
                                      </m:sub>
                                    </m:sSub>
                                  </m:num>
                                  <m:den>
                                    <m:sSub>
                                      <m:sSubPr>
                                        <m:ctrlPr>
                                          <w:rPr>
                                            <w:rFonts w:ascii="Cambria Math" w:hAnsi="Cambria Math" w:cstheme="minorHAnsi"/>
                                            <w:i/>
                                            <w:sz w:val="18"/>
                                            <w:szCs w:val="18"/>
                                          </w:rPr>
                                        </m:ctrlPr>
                                      </m:sSubPr>
                                      <m:e>
                                        <m:r>
                                          <w:rPr>
                                            <w:rFonts w:ascii="Cambria Math" w:hAnsi="Cambria Math" w:cstheme="minorHAnsi"/>
                                            <w:sz w:val="18"/>
                                            <w:szCs w:val="18"/>
                                          </w:rPr>
                                          <m:t>T</m:t>
                                        </m:r>
                                      </m:e>
                                      <m:sub>
                                        <m:r>
                                          <w:rPr>
                                            <w:rFonts w:ascii="Cambria Math" w:hAnsi="Cambria Math" w:cstheme="minorHAnsi"/>
                                            <w:sz w:val="18"/>
                                            <w:szCs w:val="18"/>
                                          </w:rPr>
                                          <m:t>nm,b</m:t>
                                        </m:r>
                                      </m:sub>
                                    </m:sSub>
                                  </m:den>
                                </m:f>
                              </m:e>
                            </m:d>
                          </m:e>
                          <m:sup>
                            <m:sSub>
                              <m:sSubPr>
                                <m:ctrlPr>
                                  <w:rPr>
                                    <w:rFonts w:ascii="Cambria Math" w:hAnsi="Cambria Math" w:cstheme="minorHAnsi"/>
                                    <w:i/>
                                    <w:sz w:val="18"/>
                                    <w:szCs w:val="18"/>
                                  </w:rPr>
                                </m:ctrlPr>
                              </m:sSubPr>
                              <m:e>
                                <m:r>
                                  <w:rPr>
                                    <w:rFonts w:ascii="Cambria Math" w:hAnsi="Cambria Math" w:cstheme="minorHAnsi"/>
                                    <w:sz w:val="18"/>
                                    <w:szCs w:val="18"/>
                                  </w:rPr>
                                  <m:t>∅</m:t>
                                </m:r>
                              </m:e>
                              <m:sub>
                                <m:r>
                                  <w:rPr>
                                    <w:rFonts w:ascii="Cambria Math" w:hAnsi="Cambria Math" w:cstheme="minorHAnsi"/>
                                    <w:sz w:val="18"/>
                                    <w:szCs w:val="18"/>
                                  </w:rPr>
                                  <m:t>nm</m:t>
                                </m:r>
                              </m:sub>
                            </m:sSub>
                          </m:sup>
                        </m:sSup>
                        <m:r>
                          <w:rPr>
                            <w:rFonts w:ascii="Cambria Math" w:hAnsi="Cambria Math" w:cstheme="minorHAnsi"/>
                            <w:sz w:val="18"/>
                            <w:szCs w:val="18"/>
                          </w:rPr>
                          <m:t>×</m:t>
                        </m:r>
                        <m:sSup>
                          <m:sSupPr>
                            <m:ctrlPr>
                              <w:rPr>
                                <w:rFonts w:ascii="Cambria Math" w:hAnsi="Cambria Math" w:cstheme="minorHAnsi"/>
                                <w:i/>
                                <w:sz w:val="18"/>
                                <w:szCs w:val="18"/>
                              </w:rPr>
                            </m:ctrlPr>
                          </m:sSupPr>
                          <m:e>
                            <m:d>
                              <m:dPr>
                                <m:begChr m:val="["/>
                                <m:endChr m:val="]"/>
                                <m:ctrlPr>
                                  <w:rPr>
                                    <w:rFonts w:ascii="Cambria Math" w:hAnsi="Cambria Math" w:cstheme="minorHAnsi"/>
                                    <w:i/>
                                    <w:sz w:val="18"/>
                                    <w:szCs w:val="18"/>
                                  </w:rPr>
                                </m:ctrlPr>
                              </m:dPr>
                              <m:e>
                                <m:f>
                                  <m:fPr>
                                    <m:ctrlPr>
                                      <w:rPr>
                                        <w:rFonts w:ascii="Cambria Math" w:hAnsi="Cambria Math" w:cstheme="minorHAnsi"/>
                                        <w:i/>
                                        <w:sz w:val="18"/>
                                        <w:szCs w:val="18"/>
                                      </w:rPr>
                                    </m:ctrlPr>
                                  </m:fPr>
                                  <m:num>
                                    <m:sSub>
                                      <m:sSubPr>
                                        <m:ctrlPr>
                                          <w:rPr>
                                            <w:rFonts w:ascii="Cambria Math" w:hAnsi="Cambria Math" w:cstheme="minorHAnsi"/>
                                            <w:i/>
                                            <w:sz w:val="18"/>
                                            <w:szCs w:val="18"/>
                                          </w:rPr>
                                        </m:ctrlPr>
                                      </m:sSubPr>
                                      <m:e>
                                        <m:r>
                                          <w:rPr>
                                            <w:rFonts w:ascii="Cambria Math" w:hAnsi="Cambria Math" w:cstheme="minorHAnsi"/>
                                            <w:sz w:val="18"/>
                                            <w:szCs w:val="18"/>
                                          </w:rPr>
                                          <m:t>T</m:t>
                                        </m:r>
                                      </m:e>
                                      <m:sub>
                                        <m:r>
                                          <w:rPr>
                                            <w:rFonts w:ascii="Cambria Math" w:hAnsi="Cambria Math" w:cstheme="minorHAnsi"/>
                                            <w:sz w:val="18"/>
                                            <w:szCs w:val="18"/>
                                          </w:rPr>
                                          <m:t>j,f</m:t>
                                        </m:r>
                                      </m:sub>
                                    </m:sSub>
                                  </m:num>
                                  <m:den>
                                    <m:sSub>
                                      <m:sSubPr>
                                        <m:ctrlPr>
                                          <w:rPr>
                                            <w:rFonts w:ascii="Cambria Math" w:hAnsi="Cambria Math" w:cstheme="minorHAnsi"/>
                                            <w:i/>
                                            <w:sz w:val="18"/>
                                            <w:szCs w:val="18"/>
                                          </w:rPr>
                                        </m:ctrlPr>
                                      </m:sSubPr>
                                      <m:e>
                                        <m:r>
                                          <w:rPr>
                                            <w:rFonts w:ascii="Cambria Math" w:hAnsi="Cambria Math" w:cstheme="minorHAnsi"/>
                                            <w:sz w:val="18"/>
                                            <w:szCs w:val="18"/>
                                          </w:rPr>
                                          <m:t>T</m:t>
                                        </m:r>
                                      </m:e>
                                      <m:sub>
                                        <m:r>
                                          <w:rPr>
                                            <w:rFonts w:ascii="Cambria Math" w:hAnsi="Cambria Math" w:cstheme="minorHAnsi"/>
                                            <w:sz w:val="18"/>
                                            <w:szCs w:val="18"/>
                                          </w:rPr>
                                          <m:t>j,b</m:t>
                                        </m:r>
                                      </m:sub>
                                    </m:sSub>
                                  </m:den>
                                </m:f>
                              </m:e>
                            </m:d>
                          </m:e>
                          <m:sup>
                            <m:sSub>
                              <m:sSubPr>
                                <m:ctrlPr>
                                  <w:rPr>
                                    <w:rFonts w:ascii="Cambria Math" w:hAnsi="Cambria Math" w:cstheme="minorHAnsi"/>
                                    <w:i/>
                                    <w:sz w:val="18"/>
                                    <w:szCs w:val="18"/>
                                  </w:rPr>
                                </m:ctrlPr>
                              </m:sSubPr>
                              <m:e>
                                <m:r>
                                  <w:rPr>
                                    <w:rFonts w:ascii="Cambria Math" w:hAnsi="Cambria Math" w:cstheme="minorHAnsi"/>
                                    <w:sz w:val="18"/>
                                    <w:szCs w:val="18"/>
                                  </w:rPr>
                                  <m:t>∅</m:t>
                                </m:r>
                              </m:e>
                              <m:sub>
                                <m:r>
                                  <w:rPr>
                                    <w:rFonts w:ascii="Cambria Math" w:hAnsi="Cambria Math" w:cstheme="minorHAnsi"/>
                                    <w:sz w:val="18"/>
                                    <w:szCs w:val="18"/>
                                  </w:rPr>
                                  <m:t>mv</m:t>
                                </m:r>
                              </m:sub>
                            </m:sSub>
                          </m:sup>
                        </m:sSup>
                      </m:e>
                    </m:nary>
                  </m:e>
                </m:nary>
              </m:oMath>
            </m:oMathPara>
          </w:p>
        </w:tc>
        <w:tc>
          <w:tcPr>
            <w:tcW w:w="1015" w:type="dxa"/>
          </w:tcPr>
          <w:p w14:paraId="2D48706B" w14:textId="6996795A" w:rsidR="0093093E" w:rsidRPr="00A40217" w:rsidRDefault="0093093E" w:rsidP="00F02FAB">
            <w:pPr>
              <w:spacing w:after="200"/>
              <w:jc w:val="right"/>
              <w:rPr>
                <w:rFonts w:cstheme="minorHAnsi"/>
              </w:rPr>
            </w:pPr>
          </w:p>
        </w:tc>
      </w:tr>
    </w:tbl>
    <w:p w14:paraId="52A33140" w14:textId="075A9E8D" w:rsidR="0093093E" w:rsidRPr="00A40217" w:rsidRDefault="0093093E" w:rsidP="0093093E">
      <w:pPr>
        <w:spacing w:after="200"/>
        <w:rPr>
          <w:rFonts w:cstheme="minorHAnsi"/>
        </w:rPr>
      </w:pPr>
      <w:r w:rsidRPr="00A40217">
        <w:rPr>
          <w:rFonts w:cstheme="minorHAnsi"/>
        </w:rPr>
        <w:t xml:space="preserve">where, </w:t>
      </w:r>
      <w:proofErr w:type="spellStart"/>
      <w:r w:rsidRPr="00A40217">
        <w:rPr>
          <w:rFonts w:cstheme="minorHAnsi"/>
          <w:i/>
        </w:rPr>
        <w:t>i</w:t>
      </w:r>
      <w:proofErr w:type="spellEnd"/>
      <w:r w:rsidRPr="00A40217">
        <w:rPr>
          <w:rFonts w:cstheme="minorHAnsi"/>
          <w:i/>
        </w:rPr>
        <w:t>, j</w:t>
      </w:r>
      <w:r w:rsidRPr="00A40217">
        <w:rPr>
          <w:rFonts w:cstheme="minorHAnsi"/>
        </w:rPr>
        <w:t xml:space="preserve"> =motorised vehicle-user victim type (2W, car, bus, 3W, LDV, HDV); </w:t>
      </w:r>
      <w:proofErr w:type="spellStart"/>
      <w:r w:rsidRPr="00A40217">
        <w:rPr>
          <w:rFonts w:cstheme="minorHAnsi"/>
          <w:i/>
        </w:rPr>
        <w:t>n</w:t>
      </w:r>
      <w:r w:rsidRPr="00A40217">
        <w:rPr>
          <w:rFonts w:cstheme="minorHAnsi"/>
          <w:i/>
          <w:vertAlign w:val="subscript"/>
        </w:rPr>
        <w:t>i,j</w:t>
      </w:r>
      <w:proofErr w:type="spellEnd"/>
      <w:r w:rsidRPr="00A40217">
        <w:rPr>
          <w:rFonts w:cstheme="minorHAnsi"/>
        </w:rPr>
        <w:t xml:space="preserve"> = annual baseline fatalities involving multiple motorised vehicles; </w:t>
      </w:r>
      <w:r w:rsidRPr="00A40217">
        <w:rPr>
          <w:rFonts w:cstheme="minorHAnsi"/>
          <w:i/>
        </w:rPr>
        <w:t>n</w:t>
      </w:r>
      <w:r w:rsidRPr="00A40217">
        <w:rPr>
          <w:rFonts w:cstheme="minorHAnsi"/>
          <w:i/>
          <w:vertAlign w:val="subscript"/>
        </w:rPr>
        <w:t>i,0</w:t>
      </w:r>
      <w:r w:rsidRPr="00A40217">
        <w:rPr>
          <w:rFonts w:cstheme="minorHAnsi"/>
        </w:rPr>
        <w:t xml:space="preserve">= annual baseline single-vehicle fatalities  of motorised vehicles;  </w:t>
      </w:r>
      <w:proofErr w:type="spellStart"/>
      <w:r w:rsidRPr="00A40217">
        <w:rPr>
          <w:rFonts w:cstheme="minorHAnsi"/>
          <w:i/>
        </w:rPr>
        <w:t>n</w:t>
      </w:r>
      <w:r w:rsidRPr="00A40217">
        <w:rPr>
          <w:rFonts w:cstheme="minorHAnsi"/>
          <w:i/>
          <w:vertAlign w:val="subscript"/>
        </w:rPr>
        <w:t>nm,j</w:t>
      </w:r>
      <w:proofErr w:type="spellEnd"/>
      <w:r w:rsidRPr="00A40217">
        <w:rPr>
          <w:rFonts w:cstheme="minorHAnsi"/>
        </w:rPr>
        <w:t xml:space="preserve"> = pedestrian or cyclists fatalities with motorised vehicle as striking vehicle; </w:t>
      </w:r>
      <w:r w:rsidRPr="00A40217">
        <w:rPr>
          <w:rFonts w:cstheme="minorHAnsi"/>
          <w:i/>
        </w:rPr>
        <w:t>f</w:t>
      </w:r>
      <w:r w:rsidRPr="00A40217">
        <w:rPr>
          <w:rFonts w:cstheme="minorHAnsi"/>
        </w:rPr>
        <w:t xml:space="preserve"> = future scenarios; </w:t>
      </w:r>
      <w:r w:rsidRPr="00A40217">
        <w:rPr>
          <w:rFonts w:cstheme="minorHAnsi"/>
          <w:i/>
        </w:rPr>
        <w:t>b</w:t>
      </w:r>
      <w:r w:rsidRPr="00A40217">
        <w:rPr>
          <w:rFonts w:cstheme="minorHAnsi"/>
        </w:rPr>
        <w:t xml:space="preserve"> = baseline; </w:t>
      </w:r>
      <w:proofErr w:type="spellStart"/>
      <w:r w:rsidRPr="00A40217">
        <w:rPr>
          <w:rFonts w:cstheme="minorHAnsi"/>
          <w:i/>
        </w:rPr>
        <w:t>T</w:t>
      </w:r>
      <w:r w:rsidRPr="00A40217">
        <w:rPr>
          <w:rFonts w:cstheme="minorHAnsi"/>
          <w:i/>
          <w:vertAlign w:val="subscript"/>
        </w:rPr>
        <w:t>i</w:t>
      </w:r>
      <w:proofErr w:type="spellEnd"/>
      <w:r w:rsidRPr="00A40217">
        <w:rPr>
          <w:rFonts w:cstheme="minorHAnsi"/>
        </w:rPr>
        <w:t xml:space="preserve"> = annual travel time of trips using mode </w:t>
      </w:r>
      <w:proofErr w:type="spellStart"/>
      <w:r w:rsidRPr="00A40217">
        <w:rPr>
          <w:rFonts w:cstheme="minorHAnsi"/>
          <w:i/>
        </w:rPr>
        <w:t>i</w:t>
      </w:r>
      <w:proofErr w:type="spellEnd"/>
      <w:r w:rsidRPr="00A40217">
        <w:rPr>
          <w:rFonts w:cstheme="minorHAnsi"/>
        </w:rPr>
        <w:t xml:space="preserve">; </w:t>
      </w:r>
      <w:proofErr w:type="spellStart"/>
      <w:r w:rsidRPr="00A40217">
        <w:rPr>
          <w:rFonts w:cstheme="minorHAnsi"/>
          <w:i/>
        </w:rPr>
        <w:t>T</w:t>
      </w:r>
      <w:r w:rsidRPr="00A40217">
        <w:rPr>
          <w:rFonts w:cstheme="minorHAnsi"/>
          <w:i/>
          <w:vertAlign w:val="subscript"/>
        </w:rPr>
        <w:t>nm,f</w:t>
      </w:r>
      <w:proofErr w:type="spellEnd"/>
      <w:r w:rsidRPr="00A40217">
        <w:rPr>
          <w:rFonts w:cstheme="minorHAnsi"/>
        </w:rPr>
        <w:t xml:space="preserve"> = annual travel time of walking or cycling trips; </w:t>
      </w:r>
      <m:oMath>
        <m:sSub>
          <m:sSubPr>
            <m:ctrlPr>
              <w:rPr>
                <w:rFonts w:ascii="Cambria Math" w:hAnsi="Cambria Math" w:cstheme="minorHAnsi"/>
                <w:i/>
              </w:rPr>
            </m:ctrlPr>
          </m:sSubPr>
          <m:e>
            <m:r>
              <w:rPr>
                <w:rFonts w:ascii="Cambria Math" w:hAnsi="Cambria Math" w:cstheme="minorHAnsi"/>
              </w:rPr>
              <m:t>∅</m:t>
            </m:r>
          </m:e>
          <m:sub>
            <m:r>
              <w:rPr>
                <w:rFonts w:ascii="Cambria Math" w:hAnsi="Cambria Math" w:cstheme="minorHAnsi"/>
              </w:rPr>
              <m:t>mv</m:t>
            </m:r>
          </m:sub>
        </m:sSub>
        <m:r>
          <m:rPr>
            <m:sty m:val="p"/>
          </m:rPr>
          <w:rPr>
            <w:rFonts w:ascii="Cambria Math" w:hAnsi="Cambria Math" w:cstheme="minorHAnsi"/>
          </w:rPr>
          <m:t xml:space="preserve">, </m:t>
        </m:r>
        <m:sSub>
          <m:sSubPr>
            <m:ctrlPr>
              <w:rPr>
                <w:rFonts w:ascii="Cambria Math" w:hAnsi="Cambria Math" w:cstheme="minorHAnsi"/>
              </w:rPr>
            </m:ctrlPr>
          </m:sSubPr>
          <m:e>
            <m:r>
              <m:rPr>
                <m:sty m:val="p"/>
              </m:rPr>
              <w:rPr>
                <w:rFonts w:ascii="Cambria Math" w:hAnsi="Cambria Math" w:cstheme="minorHAnsi"/>
              </w:rPr>
              <m:t>∅</m:t>
            </m:r>
          </m:e>
          <m:sub>
            <m:r>
              <m:rPr>
                <m:sty m:val="p"/>
              </m:rPr>
              <w:rPr>
                <w:rFonts w:ascii="Cambria Math" w:hAnsi="Cambria Math" w:cstheme="minorHAnsi"/>
              </w:rPr>
              <m:t>mm</m:t>
            </m:r>
          </m:sub>
        </m:sSub>
        <m:r>
          <m:rPr>
            <m:sty m:val="p"/>
          </m:rPr>
          <w:rPr>
            <w:rFonts w:ascii="Cambria Math" w:hAnsi="Cambria Math" w:cstheme="minorHAnsi"/>
          </w:rPr>
          <m:t xml:space="preserve">, </m:t>
        </m:r>
        <m:sSub>
          <m:sSubPr>
            <m:ctrlPr>
              <w:rPr>
                <w:rFonts w:ascii="Cambria Math" w:hAnsi="Cambria Math" w:cstheme="minorHAnsi"/>
              </w:rPr>
            </m:ctrlPr>
          </m:sSubPr>
          <m:e>
            <m:r>
              <m:rPr>
                <m:sty m:val="p"/>
              </m:rPr>
              <w:rPr>
                <w:rFonts w:ascii="Cambria Math" w:hAnsi="Cambria Math" w:cstheme="minorHAnsi"/>
              </w:rPr>
              <m:t>∅</m:t>
            </m:r>
          </m:e>
          <m:sub>
            <m:r>
              <m:rPr>
                <m:sty m:val="p"/>
              </m:rPr>
              <w:rPr>
                <w:rFonts w:ascii="Cambria Math" w:hAnsi="Cambria Math" w:cstheme="minorHAnsi"/>
              </w:rPr>
              <m:t>nm</m:t>
            </m:r>
          </m:sub>
        </m:sSub>
      </m:oMath>
      <w:r w:rsidRPr="00A40217">
        <w:rPr>
          <w:rFonts w:cstheme="minorHAnsi"/>
        </w:rPr>
        <w:t xml:space="preserve"> are the exponents for motorised vehicles crashes with multiple vehicles, single-vehicle motorised vehicle crashes, and non-motorised road-user crashes with motorised vehicles, respectively. The mode-specific travel time is estimated using the same </w:t>
      </w:r>
      <w:proofErr w:type="spellStart"/>
      <w:r w:rsidRPr="00A40217">
        <w:rPr>
          <w:rFonts w:cstheme="minorHAnsi"/>
        </w:rPr>
        <w:t>fra</w:t>
      </w:r>
      <w:proofErr w:type="spellEnd"/>
      <w:r w:rsidRPr="00A40217">
        <w:rPr>
          <w:rFonts w:cstheme="minorHAnsi"/>
        </w:rPr>
        <w:t xml:space="preserve"> for physical activity estimates, given </w:t>
      </w:r>
      <w:r w:rsidR="009161CE" w:rsidRPr="00A40217">
        <w:rPr>
          <w:rFonts w:cstheme="minorHAnsi"/>
        </w:rPr>
        <w:t>as</w:t>
      </w:r>
      <w:r w:rsidRPr="00A40217">
        <w:rPr>
          <w:rFonts w:cstheme="minorHAns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7650"/>
        <w:gridCol w:w="921"/>
      </w:tblGrid>
      <w:tr w:rsidR="0093093E" w:rsidRPr="00A40217" w14:paraId="27C484D6" w14:textId="77777777" w:rsidTr="00F02FAB">
        <w:tc>
          <w:tcPr>
            <w:tcW w:w="445" w:type="dxa"/>
          </w:tcPr>
          <w:p w14:paraId="59A54DE6" w14:textId="77777777" w:rsidR="0093093E" w:rsidRPr="00A40217" w:rsidRDefault="0093093E" w:rsidP="00F02FAB">
            <w:pPr>
              <w:spacing w:after="200"/>
              <w:rPr>
                <w:rFonts w:cstheme="minorHAnsi"/>
              </w:rPr>
            </w:pPr>
          </w:p>
        </w:tc>
        <w:tc>
          <w:tcPr>
            <w:tcW w:w="7650" w:type="dxa"/>
          </w:tcPr>
          <w:p w14:paraId="35AA4EBE" w14:textId="77777777" w:rsidR="0093093E" w:rsidRPr="00A40217" w:rsidRDefault="00030791" w:rsidP="00F02FAB">
            <w:pPr>
              <w:spacing w:after="200"/>
              <w:rPr>
                <w:rFonts w:cstheme="minorHAnsi"/>
              </w:rPr>
            </w:pPr>
            <m:oMathPara>
              <m:oMath>
                <m:sSub>
                  <m:sSubPr>
                    <m:ctrlPr>
                      <w:rPr>
                        <w:rFonts w:ascii="Cambria Math" w:hAnsi="Cambria Math" w:cstheme="minorHAnsi"/>
                        <w:i/>
                      </w:rPr>
                    </m:ctrlPr>
                  </m:sSubPr>
                  <m:e>
                    <m:r>
                      <w:rPr>
                        <w:rFonts w:ascii="Cambria Math" w:hAnsi="Cambria Math" w:cstheme="minorHAnsi"/>
                      </w:rPr>
                      <m:t>T</m:t>
                    </m:r>
                  </m:e>
                  <m:sub>
                    <m:r>
                      <w:rPr>
                        <w:rFonts w:ascii="Cambria Math" w:hAnsi="Cambria Math" w:cstheme="minorHAnsi"/>
                      </w:rPr>
                      <m:t>i,b</m:t>
                    </m:r>
                  </m:sub>
                </m:sSub>
                <m:r>
                  <w:rPr>
                    <w:rFonts w:ascii="Cambria Math" w:hAnsi="Cambria Math" w:cstheme="minorHAnsi"/>
                  </w:rPr>
                  <m:t>=TR×P×</m:t>
                </m:r>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i</m:t>
                    </m:r>
                  </m:sub>
                </m:sSub>
                <m:r>
                  <w:rPr>
                    <w:rFonts w:ascii="Cambria Math" w:hAnsi="Cambria Math" w:cstheme="minorHAnsi"/>
                  </w:rPr>
                  <m:t>×</m:t>
                </m:r>
                <m:d>
                  <m:dPr>
                    <m:begChr m:val="["/>
                    <m:endChr m:val="]"/>
                    <m:ctrlPr>
                      <w:rPr>
                        <w:rFonts w:ascii="Cambria Math" w:hAnsi="Cambria Math" w:cstheme="minorHAnsi"/>
                        <w:i/>
                      </w:rPr>
                    </m:ctrlPr>
                  </m:dPr>
                  <m:e>
                    <m:d>
                      <m:dPr>
                        <m:ctrlPr>
                          <w:rPr>
                            <w:rFonts w:ascii="Cambria Math" w:hAnsi="Cambria Math" w:cstheme="minorHAnsi"/>
                            <w:i/>
                          </w:rPr>
                        </m:ctrlPr>
                      </m:dPr>
                      <m:e>
                        <m:sSub>
                          <m:sSubPr>
                            <m:ctrlPr>
                              <w:rPr>
                                <w:rFonts w:ascii="Cambria Math" w:hAnsi="Cambria Math" w:cstheme="minorHAnsi"/>
                                <w:i/>
                              </w:rPr>
                            </m:ctrlPr>
                          </m:sSubPr>
                          <m:e>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i,m</m:t>
                                </m:r>
                              </m:sub>
                            </m:sSub>
                            <m:r>
                              <w:rPr>
                                <w:rFonts w:ascii="Cambria Math" w:hAnsi="Cambria Math" w:cstheme="minorHAnsi"/>
                              </w:rPr>
                              <m:t>×TD</m:t>
                            </m:r>
                          </m:e>
                          <m:sub>
                            <m:r>
                              <w:rPr>
                                <w:rFonts w:ascii="Cambria Math" w:hAnsi="Cambria Math" w:cstheme="minorHAnsi"/>
                              </w:rPr>
                              <m:t>i,m</m:t>
                            </m:r>
                          </m:sub>
                        </m:sSub>
                      </m:e>
                    </m:d>
                    <m:r>
                      <w:rPr>
                        <w:rFonts w:ascii="Cambria Math" w:hAnsi="Cambria Math" w:cstheme="minorHAnsi"/>
                      </w:rPr>
                      <m:t>+</m:t>
                    </m:r>
                    <m:d>
                      <m:dPr>
                        <m:ctrlPr>
                          <w:rPr>
                            <w:rFonts w:ascii="Cambria Math" w:hAnsi="Cambria Math" w:cstheme="minorHAnsi"/>
                            <w:i/>
                          </w:rPr>
                        </m:ctrlPr>
                      </m:dPr>
                      <m:e>
                        <m:sSub>
                          <m:sSubPr>
                            <m:ctrlPr>
                              <w:rPr>
                                <w:rFonts w:ascii="Cambria Math" w:hAnsi="Cambria Math" w:cstheme="minorHAnsi"/>
                                <w:i/>
                              </w:rPr>
                            </m:ctrlPr>
                          </m:sSubPr>
                          <m:e>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i,f</m:t>
                                </m:r>
                              </m:sub>
                            </m:sSub>
                            <m:r>
                              <w:rPr>
                                <w:rFonts w:ascii="Cambria Math" w:hAnsi="Cambria Math" w:cstheme="minorHAnsi"/>
                              </w:rPr>
                              <m:t>×TD</m:t>
                            </m:r>
                          </m:e>
                          <m:sub>
                            <m:r>
                              <w:rPr>
                                <w:rFonts w:ascii="Cambria Math" w:hAnsi="Cambria Math" w:cstheme="minorHAnsi"/>
                              </w:rPr>
                              <m:t>i,f</m:t>
                            </m:r>
                          </m:sub>
                        </m:sSub>
                      </m:e>
                    </m:d>
                  </m:e>
                </m:d>
              </m:oMath>
            </m:oMathPara>
          </w:p>
        </w:tc>
        <w:tc>
          <w:tcPr>
            <w:tcW w:w="921" w:type="dxa"/>
          </w:tcPr>
          <w:p w14:paraId="619B8EDC" w14:textId="588112F4" w:rsidR="0093093E" w:rsidRPr="00A40217" w:rsidRDefault="0093093E" w:rsidP="00F02FAB">
            <w:pPr>
              <w:spacing w:after="200"/>
              <w:jc w:val="right"/>
              <w:rPr>
                <w:rFonts w:cstheme="minorHAnsi"/>
              </w:rPr>
            </w:pPr>
          </w:p>
        </w:tc>
      </w:tr>
    </w:tbl>
    <w:p w14:paraId="3928C356" w14:textId="77777777" w:rsidR="0093093E" w:rsidRPr="00A40217" w:rsidRDefault="0093093E" w:rsidP="0093093E">
      <w:pPr>
        <w:spacing w:after="200"/>
        <w:rPr>
          <w:rFonts w:eastAsiaTheme="minorEastAsia" w:cstheme="minorHAnsi"/>
        </w:rPr>
      </w:pPr>
      <w:r w:rsidRPr="00A40217">
        <w:rPr>
          <w:rFonts w:eastAsiaTheme="minorEastAsia" w:cstheme="minorHAnsi"/>
        </w:rPr>
        <w:t xml:space="preserve">where, </w:t>
      </w:r>
      <w:r w:rsidRPr="00A40217">
        <w:rPr>
          <w:rFonts w:eastAsiaTheme="minorEastAsia" w:cstheme="minorHAnsi"/>
          <w:i/>
        </w:rPr>
        <w:t>TR</w:t>
      </w:r>
      <w:r w:rsidRPr="00A40217">
        <w:rPr>
          <w:rFonts w:eastAsiaTheme="minorEastAsia" w:cstheme="minorHAnsi"/>
        </w:rPr>
        <w:t xml:space="preserve">= per capita trip rate, </w:t>
      </w:r>
      <w:r w:rsidRPr="00A40217">
        <w:rPr>
          <w:rFonts w:eastAsiaTheme="minorEastAsia" w:cstheme="minorHAnsi"/>
          <w:i/>
        </w:rPr>
        <w:t>P</w:t>
      </w:r>
      <w:r w:rsidRPr="00A40217">
        <w:rPr>
          <w:rFonts w:eastAsiaTheme="minorEastAsia" w:cstheme="minorHAnsi"/>
        </w:rPr>
        <w:t xml:space="preserve"> = population older than 15 years, </w:t>
      </w:r>
      <w:r w:rsidRPr="00A40217">
        <w:rPr>
          <w:rFonts w:eastAsiaTheme="minorEastAsia" w:cstheme="minorHAnsi"/>
          <w:i/>
        </w:rPr>
        <w:t>S</w:t>
      </w:r>
      <w:r w:rsidRPr="00A40217">
        <w:rPr>
          <w:rFonts w:eastAsiaTheme="minorEastAsia" w:cstheme="minorHAnsi"/>
          <w:i/>
          <w:vertAlign w:val="subscript"/>
        </w:rPr>
        <w:t>i</w:t>
      </w:r>
      <w:r w:rsidRPr="00A40217">
        <w:rPr>
          <w:rFonts w:eastAsiaTheme="minorEastAsia" w:cstheme="minorHAnsi"/>
        </w:rPr>
        <w:t xml:space="preserve"> = share of mode </w:t>
      </w:r>
      <w:proofErr w:type="spellStart"/>
      <w:r w:rsidRPr="00A40217">
        <w:rPr>
          <w:rFonts w:eastAsiaTheme="minorEastAsia" w:cstheme="minorHAnsi"/>
        </w:rPr>
        <w:t>i</w:t>
      </w:r>
      <w:proofErr w:type="spellEnd"/>
      <w:r w:rsidRPr="00A40217">
        <w:rPr>
          <w:rFonts w:eastAsiaTheme="minorEastAsia" w:cstheme="minorHAnsi"/>
        </w:rPr>
        <w:t xml:space="preserve">, </w:t>
      </w:r>
      <w:proofErr w:type="spellStart"/>
      <w:proofErr w:type="gramStart"/>
      <w:r w:rsidRPr="00A40217">
        <w:rPr>
          <w:rFonts w:eastAsiaTheme="minorEastAsia" w:cstheme="minorHAnsi"/>
          <w:i/>
        </w:rPr>
        <w:t>G</w:t>
      </w:r>
      <w:r w:rsidRPr="00A40217">
        <w:rPr>
          <w:rFonts w:eastAsiaTheme="minorEastAsia" w:cstheme="minorHAnsi"/>
          <w:i/>
          <w:vertAlign w:val="subscript"/>
        </w:rPr>
        <w:t>i,m</w:t>
      </w:r>
      <w:proofErr w:type="spellEnd"/>
      <w:proofErr w:type="gramEnd"/>
      <w:r w:rsidRPr="00A40217">
        <w:rPr>
          <w:rFonts w:eastAsiaTheme="minorEastAsia" w:cstheme="minorHAnsi"/>
        </w:rPr>
        <w:t xml:space="preserve"> and </w:t>
      </w:r>
      <w:proofErr w:type="spellStart"/>
      <w:r w:rsidRPr="00A40217">
        <w:rPr>
          <w:rFonts w:eastAsiaTheme="minorEastAsia" w:cstheme="minorHAnsi"/>
          <w:i/>
        </w:rPr>
        <w:t>G</w:t>
      </w:r>
      <w:r w:rsidRPr="00A40217">
        <w:rPr>
          <w:rFonts w:eastAsiaTheme="minorEastAsia" w:cstheme="minorHAnsi"/>
          <w:i/>
          <w:vertAlign w:val="subscript"/>
        </w:rPr>
        <w:t>i,m</w:t>
      </w:r>
      <w:proofErr w:type="spellEnd"/>
      <w:r w:rsidRPr="00A40217">
        <w:rPr>
          <w:rFonts w:eastAsiaTheme="minorEastAsia" w:cstheme="minorHAnsi"/>
        </w:rPr>
        <w:t xml:space="preserve"> are the sex-specific share of trips of mode </w:t>
      </w:r>
      <w:proofErr w:type="spellStart"/>
      <w:r w:rsidRPr="00A40217">
        <w:rPr>
          <w:rFonts w:eastAsiaTheme="minorEastAsia" w:cstheme="minorHAnsi"/>
          <w:i/>
        </w:rPr>
        <w:t>i</w:t>
      </w:r>
      <w:proofErr w:type="spellEnd"/>
      <w:r w:rsidRPr="00A40217">
        <w:rPr>
          <w:rFonts w:eastAsiaTheme="minorEastAsia" w:cstheme="minorHAnsi"/>
        </w:rPr>
        <w:t xml:space="preserve"> for males and females, respectively; and </w:t>
      </w:r>
      <w:proofErr w:type="spellStart"/>
      <w:r w:rsidRPr="00A40217">
        <w:rPr>
          <w:rFonts w:eastAsiaTheme="minorEastAsia" w:cstheme="minorHAnsi"/>
          <w:i/>
        </w:rPr>
        <w:t>TD</w:t>
      </w:r>
      <w:r w:rsidRPr="00A40217">
        <w:rPr>
          <w:rFonts w:eastAsiaTheme="minorEastAsia" w:cstheme="minorHAnsi"/>
          <w:i/>
          <w:vertAlign w:val="subscript"/>
        </w:rPr>
        <w:t>i</w:t>
      </w:r>
      <w:proofErr w:type="spellEnd"/>
      <w:r w:rsidRPr="00A40217">
        <w:rPr>
          <w:rFonts w:eastAsiaTheme="minorEastAsia" w:cstheme="minorHAnsi"/>
        </w:rPr>
        <w:t xml:space="preserve"> = average trip time of mode</w:t>
      </w:r>
      <w:r w:rsidRPr="00A40217">
        <w:rPr>
          <w:rFonts w:eastAsiaTheme="minorEastAsia" w:cstheme="minorHAnsi"/>
          <w:i/>
        </w:rPr>
        <w:t xml:space="preserve"> </w:t>
      </w:r>
      <w:proofErr w:type="spellStart"/>
      <w:r w:rsidRPr="00A40217">
        <w:rPr>
          <w:rFonts w:eastAsiaTheme="minorEastAsia" w:cstheme="minorHAnsi"/>
          <w:i/>
        </w:rPr>
        <w:t>i</w:t>
      </w:r>
      <w:proofErr w:type="spellEnd"/>
      <w:r w:rsidRPr="00A40217">
        <w:rPr>
          <w:rFonts w:eastAsiaTheme="minorEastAsia" w:cstheme="minorHAnsi"/>
        </w:rPr>
        <w:t xml:space="preserve">. Since the model uses ratios of mode-specific travel time of the scenario to that of the baseline, the travel time does not need to be scaled up for annual estimate, as the scaling factor will be cancelled out by the division. Hence, daily travel time is used in the model. </w:t>
      </w:r>
      <w:r w:rsidRPr="00A40217">
        <w:rPr>
          <w:rFonts w:cstheme="minorHAnsi"/>
        </w:rPr>
        <w:t xml:space="preserve">For HDV and LDV, travel time was not </w:t>
      </w:r>
      <w:proofErr w:type="gramStart"/>
      <w:r w:rsidRPr="00A40217">
        <w:rPr>
          <w:rFonts w:cstheme="minorHAnsi"/>
        </w:rPr>
        <w:t>estimated</w:t>
      </w:r>
      <w:proofErr w:type="gramEnd"/>
      <w:r w:rsidRPr="00A40217">
        <w:rPr>
          <w:rFonts w:cstheme="minorHAnsi"/>
        </w:rPr>
        <w:t xml:space="preserve"> and the three scenarios are considered as the following fractions—1, 0.5, and 0.25. This is because the model uses ratios of travel time.</w:t>
      </w:r>
    </w:p>
    <w:p w14:paraId="6BDA798E" w14:textId="2CCB4544" w:rsidR="0093093E" w:rsidRPr="00A40217" w:rsidRDefault="0093093E" w:rsidP="0093093E">
      <w:pPr>
        <w:spacing w:after="0"/>
        <w:rPr>
          <w:rFonts w:eastAsiaTheme="minorEastAsia" w:cstheme="minorHAnsi"/>
          <w:b/>
          <w:i/>
        </w:rPr>
      </w:pPr>
      <w:r w:rsidRPr="00A40217">
        <w:rPr>
          <w:rFonts w:eastAsiaTheme="minorEastAsia" w:cstheme="minorHAnsi"/>
          <w:b/>
          <w:i/>
        </w:rPr>
        <w:t>Mode shift for future</w:t>
      </w:r>
      <w:r w:rsidR="0058758F" w:rsidRPr="00A40217">
        <w:rPr>
          <w:rFonts w:eastAsiaTheme="minorEastAsia" w:cstheme="minorHAnsi"/>
          <w:b/>
          <w:i/>
        </w:rPr>
        <w:t xml:space="preserve"> sc</w:t>
      </w:r>
      <w:r w:rsidRPr="00A40217">
        <w:rPr>
          <w:rFonts w:eastAsiaTheme="minorEastAsia" w:cstheme="minorHAnsi"/>
          <w:b/>
          <w:i/>
        </w:rPr>
        <w:t>enarios</w:t>
      </w:r>
    </w:p>
    <w:p w14:paraId="37762915" w14:textId="77777777" w:rsidR="0093093E" w:rsidRPr="00A40217" w:rsidRDefault="0093093E" w:rsidP="0093093E">
      <w:pPr>
        <w:spacing w:after="200"/>
        <w:rPr>
          <w:rFonts w:eastAsiaTheme="minorEastAsia" w:cstheme="minorHAnsi"/>
        </w:rPr>
      </w:pPr>
      <w:r w:rsidRPr="00A40217">
        <w:rPr>
          <w:rFonts w:cstheme="minorHAnsi"/>
        </w:rPr>
        <w:t xml:space="preserve">For modelling alternate travel patterns, the adaptation from the baseline mode shares to the scenario mode shares has been done by keeping the total distance travelled by all </w:t>
      </w:r>
      <w:proofErr w:type="gramStart"/>
      <w:r w:rsidRPr="00A40217">
        <w:rPr>
          <w:rFonts w:cstheme="minorHAnsi"/>
        </w:rPr>
        <w:t>modes</w:t>
      </w:r>
      <w:proofErr w:type="gramEnd"/>
      <w:r w:rsidRPr="00A40217">
        <w:rPr>
          <w:rFonts w:cstheme="minorHAnsi"/>
        </w:rPr>
        <w:t xml:space="preserve"> constant between the baseline and the scenario. For example, if the baseline shares of trips are 5% for cycle and 45% for walk, and the scenario shares are 25% each, with all other modes retaining the same shares, then the additional 20% of cycle trips in the alternate scenario are accounted for by transferring 20% of the travel time of all baseline walking trips to cycling, after multiplying the travel time with the ratio of walking speed to that of cycling speed, so that the distance travelled remains the same. Mathematically, the example can be expressed as the two equations below, where </w:t>
      </w:r>
      <w:proofErr w:type="spellStart"/>
      <w:proofErr w:type="gramStart"/>
      <w:r w:rsidRPr="00A40217">
        <w:rPr>
          <w:rFonts w:cstheme="minorHAnsi"/>
          <w:i/>
        </w:rPr>
        <w:t>TT</w:t>
      </w:r>
      <w:r w:rsidRPr="00A40217">
        <w:rPr>
          <w:rFonts w:cstheme="minorHAnsi"/>
          <w:i/>
          <w:vertAlign w:val="subscript"/>
        </w:rPr>
        <w:t>walk,s</w:t>
      </w:r>
      <w:proofErr w:type="spellEnd"/>
      <w:proofErr w:type="gramEnd"/>
      <w:r w:rsidRPr="00A40217">
        <w:rPr>
          <w:rFonts w:cstheme="minorHAnsi"/>
          <w:i/>
        </w:rPr>
        <w:t xml:space="preserve"> </w:t>
      </w:r>
      <w:r w:rsidRPr="00A40217">
        <w:rPr>
          <w:rFonts w:cstheme="minorHAnsi"/>
        </w:rPr>
        <w:t xml:space="preserve">and </w:t>
      </w:r>
      <w:proofErr w:type="spellStart"/>
      <w:r w:rsidRPr="00A40217">
        <w:rPr>
          <w:rFonts w:cstheme="minorHAnsi"/>
          <w:i/>
        </w:rPr>
        <w:t>TT</w:t>
      </w:r>
      <w:r w:rsidRPr="00A40217">
        <w:rPr>
          <w:rFonts w:cstheme="minorHAnsi"/>
          <w:i/>
          <w:vertAlign w:val="subscript"/>
        </w:rPr>
        <w:t>cyc,s</w:t>
      </w:r>
      <w:proofErr w:type="spellEnd"/>
      <w:r w:rsidRPr="00A40217">
        <w:rPr>
          <w:rFonts w:cstheme="minorHAnsi"/>
        </w:rPr>
        <w:t xml:space="preserve"> are scenario travel time for walking and cycling, respectively:</w:t>
      </w: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015"/>
      </w:tblGrid>
      <w:tr w:rsidR="0093093E" w:rsidRPr="00A40217" w14:paraId="7A11D637" w14:textId="77777777" w:rsidTr="00F02FAB">
        <w:trPr>
          <w:trHeight w:hRule="exact" w:val="864"/>
        </w:trPr>
        <w:tc>
          <w:tcPr>
            <w:tcW w:w="8075" w:type="dxa"/>
          </w:tcPr>
          <w:p w14:paraId="4B12E511" w14:textId="77777777" w:rsidR="0093093E" w:rsidRPr="00A40217" w:rsidRDefault="00030791" w:rsidP="00F02FAB">
            <w:pPr>
              <w:spacing w:after="200"/>
              <w:jc w:val="center"/>
              <w:rPr>
                <w:rFonts w:cstheme="minorHAnsi"/>
              </w:rPr>
            </w:pPr>
            <m:oMathPara>
              <m:oMath>
                <m:sSub>
                  <m:sSubPr>
                    <m:ctrlPr>
                      <w:rPr>
                        <w:rFonts w:ascii="Cambria Math" w:hAnsi="Cambria Math" w:cstheme="minorHAnsi"/>
                        <w:i/>
                      </w:rPr>
                    </m:ctrlPr>
                  </m:sSubPr>
                  <m:e>
                    <m:r>
                      <w:rPr>
                        <w:rFonts w:ascii="Cambria Math" w:hAnsi="Cambria Math" w:cstheme="minorHAnsi"/>
                      </w:rPr>
                      <m:t>TT</m:t>
                    </m:r>
                  </m:e>
                  <m:sub>
                    <m:r>
                      <w:rPr>
                        <w:rFonts w:ascii="Cambria Math" w:hAnsi="Cambria Math" w:cstheme="minorHAnsi"/>
                      </w:rPr>
                      <m:t>walk,s</m:t>
                    </m:r>
                  </m:sub>
                </m:sSub>
                <m:r>
                  <w:rPr>
                    <w:rFonts w:ascii="Cambria Math" w:hAnsi="Cambria Math" w:cstheme="minorHAnsi"/>
                  </w:rPr>
                  <m:t>=</m:t>
                </m:r>
                <m:f>
                  <m:fPr>
                    <m:ctrlPr>
                      <w:rPr>
                        <w:rFonts w:ascii="Cambria Math" w:hAnsi="Cambria Math" w:cstheme="minorHAnsi"/>
                        <w:i/>
                      </w:rPr>
                    </m:ctrlPr>
                  </m:fPr>
                  <m:num>
                    <m:r>
                      <w:rPr>
                        <w:rFonts w:ascii="Cambria Math" w:hAnsi="Cambria Math" w:cstheme="minorHAnsi"/>
                      </w:rPr>
                      <m:t>0.25</m:t>
                    </m:r>
                  </m:num>
                  <m:den>
                    <m:r>
                      <w:rPr>
                        <w:rFonts w:ascii="Cambria Math" w:hAnsi="Cambria Math" w:cstheme="minorHAnsi"/>
                      </w:rPr>
                      <m:t>0.45</m:t>
                    </m:r>
                  </m:den>
                </m:f>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TT</m:t>
                    </m:r>
                  </m:e>
                  <m:sub>
                    <m:r>
                      <w:rPr>
                        <w:rFonts w:ascii="Cambria Math" w:hAnsi="Cambria Math" w:cstheme="minorHAnsi"/>
                      </w:rPr>
                      <m:t>walk,b</m:t>
                    </m:r>
                  </m:sub>
                </m:sSub>
              </m:oMath>
            </m:oMathPara>
          </w:p>
        </w:tc>
        <w:tc>
          <w:tcPr>
            <w:tcW w:w="1015" w:type="dxa"/>
          </w:tcPr>
          <w:p w14:paraId="2EEAA03B" w14:textId="744705D2" w:rsidR="0093093E" w:rsidRPr="00A40217" w:rsidRDefault="0093093E" w:rsidP="00F02FAB">
            <w:pPr>
              <w:spacing w:after="200"/>
              <w:jc w:val="right"/>
              <w:rPr>
                <w:rFonts w:cstheme="minorHAnsi"/>
              </w:rPr>
            </w:pPr>
          </w:p>
        </w:tc>
      </w:tr>
      <w:tr w:rsidR="0093093E" w:rsidRPr="00A40217" w14:paraId="054AD934" w14:textId="77777777" w:rsidTr="00F02FAB">
        <w:trPr>
          <w:trHeight w:hRule="exact" w:val="864"/>
        </w:trPr>
        <w:tc>
          <w:tcPr>
            <w:tcW w:w="8075" w:type="dxa"/>
          </w:tcPr>
          <w:p w14:paraId="1953F392" w14:textId="77777777" w:rsidR="0093093E" w:rsidRPr="00A40217" w:rsidRDefault="00030791" w:rsidP="00F02FAB">
            <w:pPr>
              <w:spacing w:after="200"/>
              <w:rPr>
                <w:rFonts w:cstheme="minorHAnsi"/>
              </w:rPr>
            </w:pPr>
            <m:oMathPara>
              <m:oMath>
                <m:sSub>
                  <m:sSubPr>
                    <m:ctrlPr>
                      <w:rPr>
                        <w:rFonts w:ascii="Cambria Math" w:hAnsi="Cambria Math" w:cstheme="minorHAnsi"/>
                        <w:i/>
                      </w:rPr>
                    </m:ctrlPr>
                  </m:sSubPr>
                  <m:e>
                    <m:r>
                      <w:rPr>
                        <w:rFonts w:ascii="Cambria Math" w:hAnsi="Cambria Math" w:cstheme="minorHAnsi"/>
                      </w:rPr>
                      <m:t>TT</m:t>
                    </m:r>
                  </m:e>
                  <m:sub>
                    <m:r>
                      <w:rPr>
                        <w:rFonts w:ascii="Cambria Math" w:hAnsi="Cambria Math" w:cstheme="minorHAnsi"/>
                      </w:rPr>
                      <m:t>cyc,s</m:t>
                    </m:r>
                  </m:sub>
                </m:sSub>
                <m:r>
                  <w:rPr>
                    <w:rFonts w:ascii="Cambria Math" w:hAnsi="Cambria Math" w:cstheme="minorHAnsi"/>
                  </w:rPr>
                  <m:t>=</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TT</m:t>
                        </m:r>
                      </m:e>
                      <m:sub>
                        <m:r>
                          <w:rPr>
                            <w:rFonts w:ascii="Cambria Math" w:hAnsi="Cambria Math" w:cstheme="minorHAnsi"/>
                          </w:rPr>
                          <m:t>walk,b</m:t>
                        </m:r>
                      </m:sub>
                    </m:sSub>
                    <m:r>
                      <w:rPr>
                        <w:rFonts w:ascii="Cambria Math" w:hAnsi="Cambria Math" w:cstheme="minorHAnsi"/>
                      </w:rPr>
                      <m:t>×</m:t>
                    </m:r>
                    <m:f>
                      <m:fPr>
                        <m:ctrlPr>
                          <w:rPr>
                            <w:rFonts w:ascii="Cambria Math" w:hAnsi="Cambria Math" w:cstheme="minorHAnsi"/>
                            <w:i/>
                          </w:rPr>
                        </m:ctrlPr>
                      </m:fPr>
                      <m:num>
                        <m:r>
                          <w:rPr>
                            <w:rFonts w:ascii="Cambria Math" w:hAnsi="Cambria Math" w:cstheme="minorHAnsi"/>
                          </w:rPr>
                          <m:t>0.20</m:t>
                        </m:r>
                      </m:num>
                      <m:den>
                        <m:r>
                          <w:rPr>
                            <w:rFonts w:ascii="Cambria Math" w:hAnsi="Cambria Math" w:cstheme="minorHAnsi"/>
                          </w:rPr>
                          <m:t>0.45</m:t>
                        </m:r>
                      </m:den>
                    </m:f>
                    <m:r>
                      <w:rPr>
                        <w:rFonts w:ascii="Cambria Math" w:hAnsi="Cambria Math" w:cstheme="minorHAnsi"/>
                      </w:rPr>
                      <m:t>×</m:t>
                    </m:r>
                    <m:f>
                      <m:fPr>
                        <m:ctrlPr>
                          <w:rPr>
                            <w:rFonts w:ascii="Cambria Math" w:hAnsi="Cambria Math" w:cstheme="minorHAnsi"/>
                          </w:rPr>
                        </m:ctrlPr>
                      </m:fPr>
                      <m:num>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walk</m:t>
                            </m:r>
                          </m:sub>
                        </m:sSub>
                      </m:num>
                      <m:den>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cyc</m:t>
                            </m:r>
                          </m:sub>
                        </m:sSub>
                      </m:den>
                    </m:f>
                  </m:e>
                </m:d>
                <m:r>
                  <m:rPr>
                    <m:sty m:val="p"/>
                  </m:rP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TT</m:t>
                    </m:r>
                  </m:e>
                  <m:sub>
                    <m:r>
                      <w:rPr>
                        <w:rFonts w:ascii="Cambria Math" w:hAnsi="Cambria Math" w:cstheme="minorHAnsi"/>
                      </w:rPr>
                      <m:t>cyc,b</m:t>
                    </m:r>
                  </m:sub>
                </m:sSub>
              </m:oMath>
            </m:oMathPara>
          </w:p>
          <w:p w14:paraId="44B3D79E" w14:textId="77777777" w:rsidR="0093093E" w:rsidRPr="00A40217" w:rsidRDefault="0093093E" w:rsidP="00F02FAB">
            <w:pPr>
              <w:spacing w:after="200"/>
              <w:jc w:val="center"/>
              <w:rPr>
                <w:rFonts w:cstheme="minorHAnsi"/>
              </w:rPr>
            </w:pPr>
          </w:p>
        </w:tc>
        <w:tc>
          <w:tcPr>
            <w:tcW w:w="1015" w:type="dxa"/>
          </w:tcPr>
          <w:p w14:paraId="4263AF5A" w14:textId="3381B25B" w:rsidR="0093093E" w:rsidRPr="00A40217" w:rsidRDefault="0093093E" w:rsidP="00F02FAB">
            <w:pPr>
              <w:spacing w:after="200"/>
              <w:jc w:val="right"/>
              <w:rPr>
                <w:rFonts w:cstheme="minorHAnsi"/>
              </w:rPr>
            </w:pPr>
          </w:p>
        </w:tc>
      </w:tr>
    </w:tbl>
    <w:p w14:paraId="237B5AA3" w14:textId="77777777" w:rsidR="0093093E" w:rsidRPr="00A40217" w:rsidRDefault="0093093E" w:rsidP="0093093E">
      <w:pPr>
        <w:spacing w:after="200"/>
        <w:rPr>
          <w:rFonts w:cstheme="minorHAnsi"/>
        </w:rPr>
      </w:pPr>
      <w:r w:rsidRPr="00A40217">
        <w:rPr>
          <w:rFonts w:cstheme="minorHAnsi"/>
        </w:rPr>
        <w:lastRenderedPageBreak/>
        <w:t xml:space="preserve">where, </w:t>
      </w:r>
      <w:proofErr w:type="spellStart"/>
      <w:proofErr w:type="gramStart"/>
      <w:r w:rsidRPr="00A40217">
        <w:rPr>
          <w:rFonts w:cstheme="minorHAnsi"/>
          <w:i/>
        </w:rPr>
        <w:t>TT</w:t>
      </w:r>
      <w:r w:rsidRPr="00A40217">
        <w:rPr>
          <w:rFonts w:cstheme="minorHAnsi"/>
          <w:i/>
          <w:vertAlign w:val="subscript"/>
        </w:rPr>
        <w:t>walk,b</w:t>
      </w:r>
      <w:proofErr w:type="spellEnd"/>
      <w:proofErr w:type="gramEnd"/>
      <w:r w:rsidRPr="00A40217">
        <w:rPr>
          <w:rFonts w:cstheme="minorHAnsi"/>
        </w:rPr>
        <w:t xml:space="preserve"> and </w:t>
      </w:r>
      <w:proofErr w:type="spellStart"/>
      <w:r w:rsidRPr="00A40217">
        <w:rPr>
          <w:rFonts w:cstheme="minorHAnsi"/>
          <w:i/>
        </w:rPr>
        <w:t>TT</w:t>
      </w:r>
      <w:r w:rsidRPr="00A40217">
        <w:rPr>
          <w:rFonts w:cstheme="minorHAnsi"/>
          <w:i/>
          <w:vertAlign w:val="subscript"/>
        </w:rPr>
        <w:t>cyc,b</w:t>
      </w:r>
      <w:proofErr w:type="spellEnd"/>
      <w:r w:rsidRPr="00A40217">
        <w:rPr>
          <w:rFonts w:cstheme="minorHAnsi"/>
        </w:rPr>
        <w:t xml:space="preserve"> are the baseline population travel time of walking (from walk as main mode) and cycling, respectively;</w:t>
      </w:r>
      <w:r w:rsidRPr="00A40217">
        <w:rPr>
          <w:rFonts w:cstheme="minorHAnsi"/>
          <w:i/>
        </w:rPr>
        <w:t xml:space="preserve"> </w:t>
      </w:r>
      <w:proofErr w:type="spellStart"/>
      <w:r w:rsidRPr="00A40217">
        <w:rPr>
          <w:rFonts w:cstheme="minorHAnsi"/>
          <w:i/>
        </w:rPr>
        <w:t>S</w:t>
      </w:r>
      <w:r w:rsidRPr="00A40217">
        <w:rPr>
          <w:rFonts w:cstheme="minorHAnsi"/>
          <w:i/>
          <w:vertAlign w:val="subscript"/>
        </w:rPr>
        <w:t>walk</w:t>
      </w:r>
      <w:proofErr w:type="spellEnd"/>
      <w:r w:rsidRPr="00A40217">
        <w:rPr>
          <w:rFonts w:cstheme="minorHAnsi"/>
        </w:rPr>
        <w:t xml:space="preserve"> and </w:t>
      </w:r>
      <w:proofErr w:type="spellStart"/>
      <w:r w:rsidRPr="00A40217">
        <w:rPr>
          <w:rFonts w:cstheme="minorHAnsi"/>
          <w:i/>
        </w:rPr>
        <w:t>S</w:t>
      </w:r>
      <w:r w:rsidRPr="00A40217">
        <w:rPr>
          <w:rFonts w:cstheme="minorHAnsi"/>
          <w:i/>
          <w:vertAlign w:val="subscript"/>
        </w:rPr>
        <w:t>cyc</w:t>
      </w:r>
      <w:proofErr w:type="spellEnd"/>
      <w:r w:rsidRPr="00A40217">
        <w:rPr>
          <w:rFonts w:cstheme="minorHAnsi"/>
        </w:rPr>
        <w:t xml:space="preserve"> are walking and cycling speed, respectively, estimated from travel diary data. In case when shift of travel time from one mode (say, walk) is done to more than one </w:t>
      </w:r>
      <w:proofErr w:type="gramStart"/>
      <w:r w:rsidRPr="00A40217">
        <w:rPr>
          <w:rFonts w:cstheme="minorHAnsi"/>
        </w:rPr>
        <w:t>modes</w:t>
      </w:r>
      <w:proofErr w:type="gramEnd"/>
      <w:r w:rsidRPr="00A40217">
        <w:rPr>
          <w:rFonts w:cstheme="minorHAnsi"/>
        </w:rPr>
        <w:t xml:space="preserve"> (say, 2W and Car), the travel time is distributed to the latter modes in proportion to their baseline mode share.</w:t>
      </w:r>
    </w:p>
    <w:p w14:paraId="4E50E246" w14:textId="77777777" w:rsidR="0093093E" w:rsidRPr="00A40217" w:rsidRDefault="0093093E" w:rsidP="0093093E">
      <w:pPr>
        <w:spacing w:after="200"/>
        <w:rPr>
          <w:rFonts w:cstheme="minorHAnsi"/>
          <w:b/>
          <w:i/>
        </w:rPr>
      </w:pPr>
      <w:r w:rsidRPr="00A40217">
        <w:rPr>
          <w:rFonts w:cstheme="minorHAnsi"/>
          <w:b/>
          <w:i/>
        </w:rPr>
        <w:t>Stochastic framework</w:t>
      </w:r>
    </w:p>
    <w:p w14:paraId="10058713" w14:textId="77777777" w:rsidR="0093093E" w:rsidRPr="00A40217" w:rsidRDefault="0093093E" w:rsidP="0093093E">
      <w:pPr>
        <w:spacing w:after="200"/>
        <w:rPr>
          <w:rFonts w:eastAsiaTheme="minorEastAsia" w:cstheme="minorHAnsi"/>
        </w:rPr>
      </w:pPr>
      <w:proofErr w:type="gramStart"/>
      <w:r w:rsidRPr="00A40217">
        <w:rPr>
          <w:rFonts w:eastAsiaTheme="minorEastAsia" w:cstheme="minorHAnsi"/>
        </w:rPr>
        <w:t>In order to</w:t>
      </w:r>
      <w:proofErr w:type="gramEnd"/>
      <w:r w:rsidRPr="00A40217">
        <w:rPr>
          <w:rFonts w:eastAsiaTheme="minorEastAsia" w:cstheme="minorHAnsi"/>
        </w:rPr>
        <w:t xml:space="preserve"> account for the uncertainties in the estimates of travel characteristics, the health impact modelling for future scenarios have been done within a stochastic framework using Monte Carlo simulations. In this, the trip rates and baseline mode shares are not used as point estimates, but as distributions. </w:t>
      </w:r>
    </w:p>
    <w:p w14:paraId="3F1BB01B" w14:textId="77777777" w:rsidR="0093093E" w:rsidRPr="00A40217" w:rsidRDefault="0093093E" w:rsidP="0093093E">
      <w:pPr>
        <w:pStyle w:val="Heading5"/>
        <w:numPr>
          <w:ilvl w:val="0"/>
          <w:numId w:val="0"/>
        </w:numPr>
        <w:spacing w:before="0"/>
        <w:ind w:left="1008" w:hanging="1008"/>
        <w:rPr>
          <w:rFonts w:asciiTheme="minorHAnsi" w:eastAsiaTheme="minorEastAsia" w:hAnsiTheme="minorHAnsi" w:cstheme="minorHAnsi"/>
        </w:rPr>
      </w:pPr>
      <w:r w:rsidRPr="00A40217">
        <w:rPr>
          <w:rFonts w:asciiTheme="minorHAnsi" w:eastAsiaTheme="minorEastAsia" w:hAnsiTheme="minorHAnsi" w:cstheme="minorHAnsi"/>
        </w:rPr>
        <w:t>Victim and Striking-vehicle Matrix</w:t>
      </w:r>
    </w:p>
    <w:p w14:paraId="243FCB3C" w14:textId="36C7C5B7" w:rsidR="0093093E" w:rsidRPr="00A40217" w:rsidRDefault="0093093E" w:rsidP="0093093E">
      <w:pPr>
        <w:spacing w:after="0"/>
        <w:rPr>
          <w:rFonts w:cstheme="minorHAnsi"/>
        </w:rPr>
      </w:pPr>
      <w:r w:rsidRPr="00A40217">
        <w:rPr>
          <w:rFonts w:eastAsiaTheme="minorEastAsia" w:cstheme="minorHAnsi"/>
        </w:rPr>
        <w:t xml:space="preserve">For the model described above, </w:t>
      </w:r>
      <w:proofErr w:type="spellStart"/>
      <w:proofErr w:type="gramStart"/>
      <w:r w:rsidRPr="00A40217">
        <w:rPr>
          <w:rFonts w:eastAsiaTheme="minorEastAsia" w:cstheme="minorHAnsi"/>
          <w:i/>
        </w:rPr>
        <w:t>n</w:t>
      </w:r>
      <w:r w:rsidRPr="00A40217">
        <w:rPr>
          <w:rFonts w:eastAsiaTheme="minorEastAsia" w:cstheme="minorHAnsi"/>
          <w:i/>
          <w:vertAlign w:val="subscript"/>
        </w:rPr>
        <w:t>i,j</w:t>
      </w:r>
      <w:proofErr w:type="spellEnd"/>
      <w:proofErr w:type="gramEnd"/>
      <w:r w:rsidRPr="00A40217">
        <w:rPr>
          <w:rFonts w:eastAsiaTheme="minorEastAsia" w:cstheme="minorHAnsi"/>
        </w:rPr>
        <w:t xml:space="preserve"> is an important input, which is the number of fatalities resulting in crashes involving different victim-type and striking-vehicle pairs. In the fatality data obtained from the police department, t</w:t>
      </w:r>
      <w:r w:rsidRPr="00A40217">
        <w:rPr>
          <w:rFonts w:cstheme="minorHAnsi"/>
        </w:rPr>
        <w:t>here were 39% of victims for which striking vehicles were not identified. This proportion varied significantly over different victim types; it was the highest for pedestrians (~50%</w:t>
      </w:r>
      <w:proofErr w:type="gramStart"/>
      <w:r w:rsidRPr="00A40217">
        <w:rPr>
          <w:rFonts w:cstheme="minorHAnsi"/>
        </w:rPr>
        <w:t>), and</w:t>
      </w:r>
      <w:proofErr w:type="gramEnd"/>
      <w:r w:rsidRPr="00A40217">
        <w:rPr>
          <w:rFonts w:cstheme="minorHAnsi"/>
        </w:rPr>
        <w:t xml:space="preserve"> was followed by 2W (~33%). </w:t>
      </w:r>
      <w:r w:rsidR="005720E4" w:rsidRPr="00A40217">
        <w:rPr>
          <w:rFonts w:cstheme="minorHAnsi"/>
        </w:rPr>
        <w:t xml:space="preserve">Figure 5 </w:t>
      </w:r>
      <w:r w:rsidRPr="00A40217">
        <w:rPr>
          <w:rFonts w:cstheme="minorHAnsi"/>
        </w:rPr>
        <w:t>presents diurnal trend of pedestrian fatalities with known and unknown striking-vehicle type. The share of unknown cases is higher during night</w:t>
      </w:r>
      <w:r w:rsidR="005720E4" w:rsidRPr="00A40217">
        <w:rPr>
          <w:rFonts w:cstheme="minorHAnsi"/>
        </w:rPr>
        <w:t>-</w:t>
      </w:r>
      <w:r w:rsidRPr="00A40217">
        <w:rPr>
          <w:rFonts w:cstheme="minorHAnsi"/>
        </w:rPr>
        <w:t>time and early morning hours— average of 57% of the total fatalities from 9</w:t>
      </w:r>
      <w:r w:rsidR="005720E4" w:rsidRPr="00A40217">
        <w:rPr>
          <w:rFonts w:cstheme="minorHAnsi"/>
        </w:rPr>
        <w:t xml:space="preserve"> </w:t>
      </w:r>
      <w:r w:rsidRPr="00A40217">
        <w:rPr>
          <w:rFonts w:cstheme="minorHAnsi"/>
        </w:rPr>
        <w:t>PM through 7</w:t>
      </w:r>
      <w:r w:rsidR="005720E4" w:rsidRPr="00A40217">
        <w:rPr>
          <w:rFonts w:cstheme="minorHAnsi"/>
        </w:rPr>
        <w:t xml:space="preserve"> </w:t>
      </w:r>
      <w:r w:rsidRPr="00A40217">
        <w:rPr>
          <w:rFonts w:cstheme="minorHAnsi"/>
        </w:rPr>
        <w:t xml:space="preserve">AM, and 40% otherwise. Since unknown striking-vehicle cases may largely be attributed to hit-and-run, they are more likely to be during </w:t>
      </w:r>
      <w:proofErr w:type="gramStart"/>
      <w:r w:rsidRPr="00A40217">
        <w:rPr>
          <w:rFonts w:cstheme="minorHAnsi"/>
        </w:rPr>
        <w:t>night time</w:t>
      </w:r>
      <w:proofErr w:type="gramEnd"/>
      <w:r w:rsidRPr="00A40217">
        <w:rPr>
          <w:rFonts w:cstheme="minorHAnsi"/>
        </w:rPr>
        <w:t xml:space="preserve"> than day time, which explains the diurnal variation. </w:t>
      </w:r>
    </w:p>
    <w:p w14:paraId="3E6484F4" w14:textId="77777777" w:rsidR="0093093E" w:rsidRPr="00A40217" w:rsidRDefault="0093093E" w:rsidP="0093093E">
      <w:pPr>
        <w:jc w:val="center"/>
        <w:rPr>
          <w:rFonts w:cstheme="minorHAnsi"/>
        </w:rPr>
      </w:pPr>
      <w:r w:rsidRPr="00A40217">
        <w:rPr>
          <w:rFonts w:cstheme="minorHAnsi"/>
          <w:noProof/>
          <w:lang w:val="en-GB" w:eastAsia="en-GB"/>
        </w:rPr>
        <w:drawing>
          <wp:inline distT="0" distB="0" distL="0" distR="0" wp14:anchorId="2044C456" wp14:editId="092CEB77">
            <wp:extent cx="4353640" cy="253616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366181" cy="2543472"/>
                    </a:xfrm>
                    <a:prstGeom prst="rect">
                      <a:avLst/>
                    </a:prstGeom>
                  </pic:spPr>
                </pic:pic>
              </a:graphicData>
            </a:graphic>
          </wp:inline>
        </w:drawing>
      </w:r>
    </w:p>
    <w:p w14:paraId="314D5B69" w14:textId="20EC212D" w:rsidR="0093093E" w:rsidRPr="00A40217" w:rsidRDefault="0093093E" w:rsidP="0093093E">
      <w:pPr>
        <w:pStyle w:val="Caption"/>
        <w:spacing w:line="276" w:lineRule="auto"/>
        <w:rPr>
          <w:rFonts w:asciiTheme="minorHAnsi" w:hAnsiTheme="minorHAnsi" w:cstheme="minorHAnsi"/>
        </w:rPr>
      </w:pPr>
      <w:bookmarkStart w:id="27" w:name="_Ref397699634"/>
      <w:bookmarkStart w:id="28" w:name="_Toc476818699"/>
      <w:r w:rsidRPr="00A40217">
        <w:rPr>
          <w:rFonts w:asciiTheme="minorHAnsi" w:hAnsiTheme="minorHAnsi" w:cstheme="minorHAnsi"/>
        </w:rPr>
        <w:t>Figure</w:t>
      </w:r>
      <w:r w:rsidR="005720E4" w:rsidRPr="00A40217">
        <w:rPr>
          <w:rFonts w:asciiTheme="minorHAnsi" w:hAnsiTheme="minorHAnsi" w:cstheme="minorHAnsi"/>
        </w:rPr>
        <w:t xml:space="preserve"> 5:</w:t>
      </w:r>
      <w:bookmarkEnd w:id="27"/>
      <w:r w:rsidRPr="00A40217">
        <w:rPr>
          <w:rFonts w:asciiTheme="minorHAnsi" w:hAnsiTheme="minorHAnsi" w:cstheme="minorHAnsi"/>
        </w:rPr>
        <w:t xml:space="preserve"> Time-of-day variation of share of known and unknown striking-vehicles involving pedestrian fatalities</w:t>
      </w:r>
      <w:bookmarkEnd w:id="28"/>
    </w:p>
    <w:p w14:paraId="7FB88BA7" w14:textId="77777777" w:rsidR="0093093E" w:rsidRPr="00A40217" w:rsidRDefault="0093093E" w:rsidP="0093093E">
      <w:pPr>
        <w:jc w:val="center"/>
        <w:rPr>
          <w:rFonts w:cstheme="minorHAnsi"/>
        </w:rPr>
      </w:pPr>
      <w:r w:rsidRPr="00A40217">
        <w:rPr>
          <w:rFonts w:cstheme="minorHAnsi"/>
          <w:noProof/>
          <w:lang w:val="en-GB" w:eastAsia="en-GB"/>
        </w:rPr>
        <w:lastRenderedPageBreak/>
        <w:drawing>
          <wp:inline distT="0" distB="0" distL="0" distR="0" wp14:anchorId="1B51EE01" wp14:editId="31245190">
            <wp:extent cx="4706636" cy="2660454"/>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09716" cy="2662195"/>
                    </a:xfrm>
                    <a:prstGeom prst="rect">
                      <a:avLst/>
                    </a:prstGeom>
                  </pic:spPr>
                </pic:pic>
              </a:graphicData>
            </a:graphic>
          </wp:inline>
        </w:drawing>
      </w:r>
    </w:p>
    <w:p w14:paraId="65D294EE" w14:textId="11D5BB8B" w:rsidR="0093093E" w:rsidRPr="00A40217" w:rsidRDefault="0093093E" w:rsidP="0093093E">
      <w:pPr>
        <w:pStyle w:val="Caption"/>
        <w:spacing w:line="276" w:lineRule="auto"/>
        <w:jc w:val="center"/>
        <w:rPr>
          <w:rFonts w:asciiTheme="minorHAnsi" w:hAnsiTheme="minorHAnsi" w:cstheme="minorHAnsi"/>
        </w:rPr>
      </w:pPr>
      <w:bookmarkStart w:id="29" w:name="_Ref397699591"/>
      <w:bookmarkStart w:id="30" w:name="_Toc476818700"/>
      <w:r w:rsidRPr="00A40217">
        <w:rPr>
          <w:rFonts w:asciiTheme="minorHAnsi" w:hAnsiTheme="minorHAnsi" w:cstheme="minorHAnsi"/>
        </w:rPr>
        <w:t xml:space="preserve">Figure </w:t>
      </w:r>
      <w:bookmarkEnd w:id="29"/>
      <w:r w:rsidR="005720E4" w:rsidRPr="00A40217">
        <w:rPr>
          <w:rFonts w:asciiTheme="minorHAnsi" w:hAnsiTheme="minorHAnsi" w:cstheme="minorHAnsi"/>
        </w:rPr>
        <w:t>6:</w:t>
      </w:r>
      <w:r w:rsidRPr="00A40217">
        <w:rPr>
          <w:rFonts w:asciiTheme="minorHAnsi" w:hAnsiTheme="minorHAnsi" w:cstheme="minorHAnsi"/>
        </w:rPr>
        <w:t xml:space="preserve"> Diurnal variation of share of goods vehicles (LDV and HDV) and other motorised vehicles on </w:t>
      </w:r>
      <w:proofErr w:type="gramStart"/>
      <w:r w:rsidRPr="00A40217">
        <w:rPr>
          <w:rFonts w:asciiTheme="minorHAnsi" w:hAnsiTheme="minorHAnsi" w:cstheme="minorHAnsi"/>
        </w:rPr>
        <w:t>Mathura road</w:t>
      </w:r>
      <w:proofErr w:type="gramEnd"/>
      <w:r w:rsidRPr="00A40217">
        <w:rPr>
          <w:rFonts w:asciiTheme="minorHAnsi" w:hAnsiTheme="minorHAnsi" w:cstheme="minorHAnsi"/>
        </w:rPr>
        <w:t>—a major arterial road in Delhi</w:t>
      </w:r>
      <w:bookmarkEnd w:id="30"/>
    </w:p>
    <w:p w14:paraId="5AA853B0" w14:textId="309C0F42" w:rsidR="0093093E" w:rsidRPr="00A40217" w:rsidRDefault="0093093E" w:rsidP="0093093E">
      <w:pPr>
        <w:rPr>
          <w:rFonts w:cstheme="minorHAnsi"/>
        </w:rPr>
      </w:pPr>
      <w:r w:rsidRPr="00A40217">
        <w:rPr>
          <w:rFonts w:cstheme="minorHAnsi"/>
        </w:rPr>
        <w:t xml:space="preserve">In addition, the mode share of on-road motorised traffic also changes significantly over the day. For illustration, </w:t>
      </w:r>
      <w:r w:rsidR="005720E4" w:rsidRPr="00A40217">
        <w:rPr>
          <w:rFonts w:cstheme="minorHAnsi"/>
        </w:rPr>
        <w:t xml:space="preserve">Figure 6 </w:t>
      </w:r>
      <w:r w:rsidRPr="00A40217">
        <w:rPr>
          <w:rFonts w:cstheme="minorHAnsi"/>
        </w:rPr>
        <w:t xml:space="preserve">presents the diurnal trend of share of LDV and HDV among all the motorised vehicles, for a major arterial road (Mathura Road) in Delhi. Higher volume of trucks during </w:t>
      </w:r>
      <w:proofErr w:type="gramStart"/>
      <w:r w:rsidRPr="00A40217">
        <w:rPr>
          <w:rFonts w:cstheme="minorHAnsi"/>
        </w:rPr>
        <w:t>night time</w:t>
      </w:r>
      <w:proofErr w:type="gramEnd"/>
      <w:r w:rsidRPr="00A40217">
        <w:rPr>
          <w:rFonts w:cstheme="minorHAnsi"/>
        </w:rPr>
        <w:t xml:space="preserve"> is a result of the regulations imposed by the police department of Delhi, according to which day-time movement of HDV is prohibited on most roads within the city boundary (https://delhitrafficpolice.nic.in/about-us/notifications/). The two figures (</w:t>
      </w:r>
      <w:r w:rsidR="005720E4" w:rsidRPr="00A40217">
        <w:rPr>
          <w:rFonts w:cstheme="minorHAnsi"/>
        </w:rPr>
        <w:t>Figures 5 and 6</w:t>
      </w:r>
      <w:r w:rsidRPr="00A40217">
        <w:rPr>
          <w:rFonts w:cstheme="minorHAnsi"/>
        </w:rPr>
        <w:t>) show that higher proportion of unknown cases coincide with the time of day when proportion of goods vehicles is also high.</w:t>
      </w:r>
    </w:p>
    <w:p w14:paraId="069F6FFE" w14:textId="0CB72792" w:rsidR="0093093E" w:rsidRPr="00A40217" w:rsidRDefault="0093093E" w:rsidP="0093093E">
      <w:pPr>
        <w:rPr>
          <w:rFonts w:cstheme="minorHAnsi"/>
        </w:rPr>
      </w:pPr>
      <w:r w:rsidRPr="00A40217">
        <w:rPr>
          <w:rFonts w:cstheme="minorHAnsi"/>
        </w:rPr>
        <w:t xml:space="preserve">In order to control for the variation of on-road traffic mix, known striking-vehicle cases were classified into two time periods— a) </w:t>
      </w:r>
      <w:proofErr w:type="gramStart"/>
      <w:r w:rsidRPr="00A40217">
        <w:rPr>
          <w:rFonts w:cstheme="minorHAnsi"/>
        </w:rPr>
        <w:t>night time</w:t>
      </w:r>
      <w:proofErr w:type="gramEnd"/>
      <w:r w:rsidRPr="00A40217">
        <w:rPr>
          <w:rFonts w:cstheme="minorHAnsi"/>
        </w:rPr>
        <w:t xml:space="preserve"> (9PM through 7AM) and b) day time (rest of the day)—based on the share of goods vehicles in on-road traffic mix (</w:t>
      </w:r>
      <w:r w:rsidR="005720E4" w:rsidRPr="00A40217">
        <w:rPr>
          <w:rFonts w:cstheme="minorHAnsi"/>
        </w:rPr>
        <w:t>Figure 6</w:t>
      </w:r>
      <w:r w:rsidRPr="00A40217">
        <w:rPr>
          <w:rFonts w:cstheme="minorHAnsi"/>
        </w:rPr>
        <w:t xml:space="preserve">). There were 10% of the cases with no reported time-of-occurrence of the crashes. These cases were distributed among day and night in the same proportion as the cases with known time-of-occurrence, classified by victim type. </w:t>
      </w:r>
      <w:r w:rsidR="005720E4" w:rsidRPr="00A40217">
        <w:rPr>
          <w:rFonts w:cstheme="minorHAnsi"/>
        </w:rPr>
        <w:t xml:space="preserve">Figure 7 </w:t>
      </w:r>
      <w:r w:rsidRPr="00A40217">
        <w:rPr>
          <w:rFonts w:cstheme="minorHAnsi"/>
        </w:rPr>
        <w:t xml:space="preserve">presents distribution of striking vehicles for known cases of pedestrian fatalities, classified by time-of-day. The most significant difference occurs between buses and heavy trucks. During the </w:t>
      </w:r>
      <w:proofErr w:type="gramStart"/>
      <w:r w:rsidRPr="00A40217">
        <w:rPr>
          <w:rFonts w:cstheme="minorHAnsi"/>
        </w:rPr>
        <w:t>night time</w:t>
      </w:r>
      <w:proofErr w:type="gramEnd"/>
      <w:r w:rsidRPr="00A40217">
        <w:rPr>
          <w:rFonts w:cstheme="minorHAnsi"/>
        </w:rPr>
        <w:t xml:space="preserve">, share of buses is less than half their share during the day. Heavy trucks, on the other hand, have much higher share during </w:t>
      </w:r>
      <w:proofErr w:type="gramStart"/>
      <w:r w:rsidRPr="00A40217">
        <w:rPr>
          <w:rFonts w:cstheme="minorHAnsi"/>
        </w:rPr>
        <w:t>night time</w:t>
      </w:r>
      <w:proofErr w:type="gramEnd"/>
      <w:r w:rsidRPr="00A40217">
        <w:rPr>
          <w:rFonts w:cstheme="minorHAnsi"/>
        </w:rPr>
        <w:t xml:space="preserve">. This is expected as, during </w:t>
      </w:r>
      <w:proofErr w:type="gramStart"/>
      <w:r w:rsidRPr="00A40217">
        <w:rPr>
          <w:rFonts w:cstheme="minorHAnsi"/>
        </w:rPr>
        <w:t>night time</w:t>
      </w:r>
      <w:proofErr w:type="gramEnd"/>
      <w:r w:rsidRPr="00A40217">
        <w:rPr>
          <w:rFonts w:cstheme="minorHAnsi"/>
        </w:rPr>
        <w:t xml:space="preserve">, the operation of city-based buses is limited while that of trucks increases. </w:t>
      </w:r>
    </w:p>
    <w:p w14:paraId="2D9809B7" w14:textId="77777777" w:rsidR="0093093E" w:rsidRPr="00A40217" w:rsidRDefault="0093093E" w:rsidP="0093093E">
      <w:pPr>
        <w:keepNext/>
        <w:jc w:val="center"/>
        <w:rPr>
          <w:rFonts w:cstheme="minorHAnsi"/>
        </w:rPr>
      </w:pPr>
      <w:r w:rsidRPr="00A40217">
        <w:rPr>
          <w:rFonts w:cstheme="minorHAnsi"/>
          <w:noProof/>
          <w:lang w:val="en-GB" w:eastAsia="en-GB"/>
        </w:rPr>
        <w:lastRenderedPageBreak/>
        <w:drawing>
          <wp:inline distT="0" distB="0" distL="0" distR="0" wp14:anchorId="5959D9CD" wp14:editId="67057B2A">
            <wp:extent cx="2799715" cy="3134714"/>
            <wp:effectExtent l="0" t="0" r="635" b="8890"/>
            <wp:docPr id="2049" name="Picture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12336" cy="3148845"/>
                    </a:xfrm>
                    <a:prstGeom prst="rect">
                      <a:avLst/>
                    </a:prstGeom>
                  </pic:spPr>
                </pic:pic>
              </a:graphicData>
            </a:graphic>
          </wp:inline>
        </w:drawing>
      </w:r>
    </w:p>
    <w:p w14:paraId="3CB96BED" w14:textId="3023CD71" w:rsidR="0093093E" w:rsidRPr="00A40217" w:rsidRDefault="0093093E" w:rsidP="0093093E">
      <w:pPr>
        <w:pStyle w:val="Caption"/>
        <w:rPr>
          <w:rFonts w:asciiTheme="minorHAnsi" w:hAnsiTheme="minorHAnsi" w:cstheme="minorHAnsi"/>
        </w:rPr>
      </w:pPr>
      <w:bookmarkStart w:id="31" w:name="_Ref428801275"/>
      <w:bookmarkStart w:id="32" w:name="_Toc476818701"/>
      <w:r w:rsidRPr="00A40217">
        <w:rPr>
          <w:rFonts w:asciiTheme="minorHAnsi" w:hAnsiTheme="minorHAnsi" w:cstheme="minorHAnsi"/>
        </w:rPr>
        <w:t>Figure</w:t>
      </w:r>
      <w:bookmarkEnd w:id="31"/>
      <w:r w:rsidR="005720E4" w:rsidRPr="00A40217">
        <w:rPr>
          <w:rFonts w:asciiTheme="minorHAnsi" w:hAnsiTheme="minorHAnsi" w:cstheme="minorHAnsi"/>
        </w:rPr>
        <w:t xml:space="preserve"> 7</w:t>
      </w:r>
      <w:r w:rsidRPr="00A40217">
        <w:rPr>
          <w:rFonts w:asciiTheme="minorHAnsi" w:hAnsiTheme="minorHAnsi" w:cstheme="minorHAnsi"/>
        </w:rPr>
        <w:t>: Time-of-day-specific distribution of striking vehicles in pedestrian deaths for crashes with known striking vehicles</w:t>
      </w:r>
      <w:bookmarkEnd w:id="32"/>
    </w:p>
    <w:p w14:paraId="306E30A6" w14:textId="79D7C45B" w:rsidR="0093093E" w:rsidRPr="00A40217" w:rsidRDefault="0093093E" w:rsidP="0093093E">
      <w:pPr>
        <w:rPr>
          <w:rFonts w:cstheme="minorHAnsi"/>
        </w:rPr>
      </w:pPr>
      <w:r w:rsidRPr="00A40217">
        <w:rPr>
          <w:rFonts w:cstheme="minorHAnsi"/>
        </w:rPr>
        <w:t>From the known striking-vehicle cases, victim- and time-of-day-specific (day or night) distribution of striking vehicles was calculated. This distribution was then used with victim- and time-of-day-specific fatalities for unknown striking-vehicle cases. Next, the data was aggregated, and the resulting matrix of striking vehicles and victims is shown in</w:t>
      </w:r>
      <w:r w:rsidR="007C02D1" w:rsidRPr="00A40217">
        <w:rPr>
          <w:rFonts w:cstheme="minorHAnsi"/>
        </w:rPr>
        <w:t xml:space="preserve"> Table 6</w:t>
      </w:r>
      <w:r w:rsidRPr="00A40217">
        <w:rPr>
          <w:rFonts w:cstheme="minorHAnsi"/>
        </w:rPr>
        <w:t>. In the table,</w:t>
      </w:r>
      <w:r w:rsidRPr="00A40217">
        <w:rPr>
          <w:rFonts w:cstheme="minorHAnsi"/>
          <w:i/>
        </w:rPr>
        <w:t xml:space="preserve"> </w:t>
      </w:r>
      <w:r w:rsidRPr="00A40217">
        <w:rPr>
          <w:rFonts w:cstheme="minorHAnsi"/>
        </w:rPr>
        <w:t xml:space="preserve">fatalities are the average for the period 2010 through 2012. </w:t>
      </w:r>
    </w:p>
    <w:p w14:paraId="0E4D2A12" w14:textId="77777777" w:rsidR="0093093E" w:rsidRPr="00A40217" w:rsidRDefault="0093093E" w:rsidP="0093093E">
      <w:pPr>
        <w:rPr>
          <w:rFonts w:cstheme="minorHAnsi"/>
        </w:rPr>
      </w:pPr>
      <w:r w:rsidRPr="00A40217">
        <w:rPr>
          <w:rFonts w:cstheme="minorHAnsi"/>
        </w:rPr>
        <w:t>According to the matrix, in Delhi, up to 50% of the pedestrian fatalities are estimated to be caused in crashes involving heavy vehicles—buses, LDV and HDV, and one-third are caused in crashes involving cars. In case of cycles, more than 60% fatalities are caused in crashes involving heavy vehicles, and cars have one-fourth of the share. In case of cars and 2W, at least a quarter of the fatalities are reported to have occurred in single-vehicle crashes. In contrast, there are no fatal cases reported for single-vehicle crashes of pedestrians and cyclists. For modelling of fatalities for alternate future scenarios, fatal cases from cycle rickshaw and NMT goods were not considered, with a combined share of total fatalities less than 2%. In total, 38% of the fatalities occur with trucks as striking vehicles, 37% with 2W and cars, and 17% with buses and other PT modes.</w:t>
      </w:r>
    </w:p>
    <w:p w14:paraId="4153BF3E" w14:textId="496DF75F" w:rsidR="0093093E" w:rsidRPr="00A40217" w:rsidRDefault="0093093E" w:rsidP="0093093E">
      <w:pPr>
        <w:pStyle w:val="Caption"/>
        <w:spacing w:line="276" w:lineRule="auto"/>
        <w:rPr>
          <w:rFonts w:asciiTheme="minorHAnsi" w:hAnsiTheme="minorHAnsi" w:cstheme="minorHAnsi"/>
        </w:rPr>
      </w:pPr>
      <w:bookmarkStart w:id="33" w:name="_Ref428803205"/>
      <w:bookmarkStart w:id="34" w:name="_Toc476818647"/>
      <w:r w:rsidRPr="00A40217">
        <w:rPr>
          <w:rFonts w:asciiTheme="minorHAnsi" w:hAnsiTheme="minorHAnsi" w:cstheme="minorHAnsi"/>
        </w:rPr>
        <w:t>Table</w:t>
      </w:r>
      <w:bookmarkEnd w:id="33"/>
      <w:r w:rsidR="007C02D1" w:rsidRPr="00A40217">
        <w:rPr>
          <w:rFonts w:asciiTheme="minorHAnsi" w:hAnsiTheme="minorHAnsi" w:cstheme="minorHAnsi"/>
        </w:rPr>
        <w:t xml:space="preserve"> 6</w:t>
      </w:r>
      <w:r w:rsidRPr="00A40217">
        <w:rPr>
          <w:rFonts w:asciiTheme="minorHAnsi" w:hAnsiTheme="minorHAnsi" w:cstheme="minorHAnsi"/>
        </w:rPr>
        <w:t>: Matrix of victim road-user type and striking vehicles (expressed as percent of total fatalities within each victim category)</w:t>
      </w:r>
      <w:bookmarkEnd w:id="34"/>
    </w:p>
    <w:tbl>
      <w:tblPr>
        <w:tblW w:w="8992" w:type="dxa"/>
        <w:tblInd w:w="93" w:type="dxa"/>
        <w:tblLook w:val="04A0" w:firstRow="1" w:lastRow="0" w:firstColumn="1" w:lastColumn="0" w:noHBand="0" w:noVBand="1"/>
      </w:tblPr>
      <w:tblGrid>
        <w:gridCol w:w="1162"/>
        <w:gridCol w:w="1018"/>
        <w:gridCol w:w="700"/>
        <w:gridCol w:w="527"/>
        <w:gridCol w:w="613"/>
        <w:gridCol w:w="613"/>
        <w:gridCol w:w="527"/>
        <w:gridCol w:w="1045"/>
        <w:gridCol w:w="700"/>
        <w:gridCol w:w="700"/>
        <w:gridCol w:w="757"/>
        <w:gridCol w:w="630"/>
      </w:tblGrid>
      <w:tr w:rsidR="0093093E" w:rsidRPr="00A40217" w14:paraId="21C7C28A" w14:textId="77777777" w:rsidTr="0058758F">
        <w:trPr>
          <w:trHeight w:val="227"/>
        </w:trPr>
        <w:tc>
          <w:tcPr>
            <w:tcW w:w="1162" w:type="dxa"/>
            <w:tcBorders>
              <w:top w:val="single" w:sz="4" w:space="0" w:color="auto"/>
              <w:left w:val="single" w:sz="4" w:space="0" w:color="auto"/>
              <w:bottom w:val="single" w:sz="4" w:space="0" w:color="auto"/>
              <w:right w:val="single" w:sz="4" w:space="0" w:color="auto"/>
            </w:tcBorders>
            <w:shd w:val="clear" w:color="DCE6F1" w:fill="auto"/>
            <w:noWrap/>
            <w:vAlign w:val="center"/>
          </w:tcPr>
          <w:p w14:paraId="44DC8B09" w14:textId="77777777" w:rsidR="0093093E" w:rsidRPr="00A40217" w:rsidRDefault="0093093E" w:rsidP="00F02FAB">
            <w:pPr>
              <w:spacing w:after="0" w:line="240" w:lineRule="auto"/>
              <w:rPr>
                <w:rFonts w:eastAsia="Times New Roman" w:cstheme="minorHAnsi"/>
                <w:b/>
                <w:bCs/>
                <w:sz w:val="18"/>
              </w:rPr>
            </w:pPr>
          </w:p>
        </w:tc>
        <w:tc>
          <w:tcPr>
            <w:tcW w:w="7830" w:type="dxa"/>
            <w:gridSpan w:val="11"/>
            <w:tcBorders>
              <w:top w:val="single" w:sz="4" w:space="0" w:color="auto"/>
              <w:left w:val="nil"/>
              <w:bottom w:val="single" w:sz="4" w:space="0" w:color="auto"/>
              <w:right w:val="single" w:sz="4" w:space="0" w:color="auto"/>
            </w:tcBorders>
            <w:shd w:val="clear" w:color="DCE6F1" w:fill="auto"/>
            <w:noWrap/>
            <w:vAlign w:val="center"/>
          </w:tcPr>
          <w:p w14:paraId="5BCEA61E" w14:textId="77777777" w:rsidR="0093093E" w:rsidRPr="00A40217" w:rsidRDefault="0093093E" w:rsidP="00F02FAB">
            <w:pPr>
              <w:spacing w:after="0" w:line="240" w:lineRule="auto"/>
              <w:jc w:val="center"/>
              <w:rPr>
                <w:rFonts w:eastAsia="Times New Roman" w:cstheme="minorHAnsi"/>
                <w:b/>
                <w:bCs/>
                <w:sz w:val="18"/>
              </w:rPr>
            </w:pPr>
            <w:r w:rsidRPr="00A40217">
              <w:rPr>
                <w:rFonts w:eastAsia="Times New Roman" w:cstheme="minorHAnsi"/>
                <w:b/>
                <w:bCs/>
                <w:sz w:val="18"/>
              </w:rPr>
              <w:t>Victim road-user type (% of column total)</w:t>
            </w:r>
          </w:p>
        </w:tc>
      </w:tr>
      <w:tr w:rsidR="0093093E" w:rsidRPr="00A40217" w14:paraId="204CDD0C" w14:textId="77777777" w:rsidTr="0058758F">
        <w:trPr>
          <w:trHeight w:val="227"/>
        </w:trPr>
        <w:tc>
          <w:tcPr>
            <w:tcW w:w="1162" w:type="dxa"/>
            <w:tcBorders>
              <w:top w:val="single" w:sz="4" w:space="0" w:color="auto"/>
              <w:left w:val="single" w:sz="4" w:space="0" w:color="auto"/>
              <w:bottom w:val="single" w:sz="4" w:space="0" w:color="auto"/>
              <w:right w:val="single" w:sz="4" w:space="0" w:color="auto"/>
            </w:tcBorders>
            <w:shd w:val="clear" w:color="DCE6F1" w:fill="auto"/>
            <w:noWrap/>
            <w:vAlign w:val="center"/>
            <w:hideMark/>
          </w:tcPr>
          <w:p w14:paraId="077EE25B" w14:textId="77777777" w:rsidR="0093093E" w:rsidRPr="00A40217" w:rsidRDefault="0093093E" w:rsidP="00F02FAB">
            <w:pPr>
              <w:spacing w:after="0" w:line="240" w:lineRule="auto"/>
              <w:rPr>
                <w:rFonts w:eastAsia="Times New Roman" w:cstheme="minorHAnsi"/>
                <w:b/>
                <w:bCs/>
                <w:sz w:val="18"/>
              </w:rPr>
            </w:pPr>
            <w:r w:rsidRPr="00A40217">
              <w:rPr>
                <w:rFonts w:eastAsia="Times New Roman" w:cstheme="minorHAnsi"/>
                <w:b/>
                <w:bCs/>
                <w:sz w:val="18"/>
              </w:rPr>
              <w:t>Striking Vehicle</w:t>
            </w:r>
          </w:p>
        </w:tc>
        <w:tc>
          <w:tcPr>
            <w:tcW w:w="1005" w:type="dxa"/>
            <w:tcBorders>
              <w:top w:val="single" w:sz="4" w:space="0" w:color="auto"/>
              <w:left w:val="nil"/>
              <w:bottom w:val="single" w:sz="4" w:space="0" w:color="auto"/>
              <w:right w:val="single" w:sz="4" w:space="0" w:color="auto"/>
            </w:tcBorders>
            <w:shd w:val="clear" w:color="DCE6F1" w:fill="auto"/>
            <w:noWrap/>
            <w:vAlign w:val="center"/>
            <w:hideMark/>
          </w:tcPr>
          <w:p w14:paraId="29BE75B5" w14:textId="77777777" w:rsidR="0093093E" w:rsidRPr="00A40217" w:rsidRDefault="0093093E" w:rsidP="00F02FAB">
            <w:pPr>
              <w:spacing w:after="0" w:line="240" w:lineRule="auto"/>
              <w:jc w:val="right"/>
              <w:rPr>
                <w:rFonts w:eastAsia="Times New Roman" w:cstheme="minorHAnsi"/>
                <w:b/>
                <w:bCs/>
                <w:sz w:val="18"/>
              </w:rPr>
            </w:pPr>
            <w:r w:rsidRPr="00A40217">
              <w:rPr>
                <w:rFonts w:eastAsia="Times New Roman" w:cstheme="minorHAnsi"/>
                <w:b/>
                <w:bCs/>
                <w:sz w:val="18"/>
              </w:rPr>
              <w:t>Pedestrian</w:t>
            </w:r>
          </w:p>
        </w:tc>
        <w:tc>
          <w:tcPr>
            <w:tcW w:w="700" w:type="dxa"/>
            <w:tcBorders>
              <w:top w:val="single" w:sz="4" w:space="0" w:color="auto"/>
              <w:left w:val="nil"/>
              <w:bottom w:val="single" w:sz="4" w:space="0" w:color="auto"/>
              <w:right w:val="single" w:sz="4" w:space="0" w:color="auto"/>
            </w:tcBorders>
            <w:shd w:val="clear" w:color="DCE6F1" w:fill="auto"/>
            <w:noWrap/>
            <w:vAlign w:val="center"/>
            <w:hideMark/>
          </w:tcPr>
          <w:p w14:paraId="0AB66085" w14:textId="77777777" w:rsidR="0093093E" w:rsidRPr="00A40217" w:rsidRDefault="0093093E" w:rsidP="00F02FAB">
            <w:pPr>
              <w:spacing w:after="0" w:line="240" w:lineRule="auto"/>
              <w:jc w:val="right"/>
              <w:rPr>
                <w:rFonts w:eastAsia="Times New Roman" w:cstheme="minorHAnsi"/>
                <w:b/>
                <w:bCs/>
                <w:sz w:val="18"/>
              </w:rPr>
            </w:pPr>
            <w:r w:rsidRPr="00A40217">
              <w:rPr>
                <w:rFonts w:eastAsia="Times New Roman" w:cstheme="minorHAnsi"/>
                <w:b/>
                <w:bCs/>
                <w:sz w:val="18"/>
              </w:rPr>
              <w:t>Cycle</w:t>
            </w:r>
          </w:p>
        </w:tc>
        <w:tc>
          <w:tcPr>
            <w:tcW w:w="527" w:type="dxa"/>
            <w:tcBorders>
              <w:top w:val="single" w:sz="4" w:space="0" w:color="auto"/>
              <w:left w:val="nil"/>
              <w:bottom w:val="single" w:sz="4" w:space="0" w:color="auto"/>
              <w:right w:val="single" w:sz="4" w:space="0" w:color="auto"/>
            </w:tcBorders>
            <w:shd w:val="clear" w:color="DCE6F1" w:fill="auto"/>
            <w:noWrap/>
            <w:vAlign w:val="center"/>
            <w:hideMark/>
          </w:tcPr>
          <w:p w14:paraId="11A197E6" w14:textId="77777777" w:rsidR="0093093E" w:rsidRPr="00A40217" w:rsidRDefault="0093093E" w:rsidP="00F02FAB">
            <w:pPr>
              <w:spacing w:after="0" w:line="240" w:lineRule="auto"/>
              <w:jc w:val="right"/>
              <w:rPr>
                <w:rFonts w:eastAsia="Times New Roman" w:cstheme="minorHAnsi"/>
                <w:b/>
                <w:bCs/>
                <w:sz w:val="18"/>
              </w:rPr>
            </w:pPr>
            <w:r w:rsidRPr="00A40217">
              <w:rPr>
                <w:rFonts w:eastAsia="Times New Roman" w:cstheme="minorHAnsi"/>
                <w:b/>
                <w:bCs/>
                <w:sz w:val="18"/>
              </w:rPr>
              <w:t>2W</w:t>
            </w:r>
          </w:p>
        </w:tc>
        <w:tc>
          <w:tcPr>
            <w:tcW w:w="613" w:type="dxa"/>
            <w:tcBorders>
              <w:top w:val="single" w:sz="4" w:space="0" w:color="auto"/>
              <w:left w:val="nil"/>
              <w:bottom w:val="single" w:sz="4" w:space="0" w:color="auto"/>
              <w:right w:val="single" w:sz="4" w:space="0" w:color="auto"/>
            </w:tcBorders>
            <w:shd w:val="clear" w:color="DCE6F1" w:fill="auto"/>
            <w:noWrap/>
            <w:vAlign w:val="center"/>
            <w:hideMark/>
          </w:tcPr>
          <w:p w14:paraId="7F4D1443" w14:textId="77777777" w:rsidR="0093093E" w:rsidRPr="00A40217" w:rsidRDefault="0093093E" w:rsidP="00F02FAB">
            <w:pPr>
              <w:spacing w:after="0" w:line="240" w:lineRule="auto"/>
              <w:jc w:val="right"/>
              <w:rPr>
                <w:rFonts w:eastAsia="Times New Roman" w:cstheme="minorHAnsi"/>
                <w:b/>
                <w:bCs/>
                <w:sz w:val="18"/>
              </w:rPr>
            </w:pPr>
            <w:r w:rsidRPr="00A40217">
              <w:rPr>
                <w:rFonts w:eastAsia="Times New Roman" w:cstheme="minorHAnsi"/>
                <w:b/>
                <w:bCs/>
                <w:sz w:val="18"/>
              </w:rPr>
              <w:t>Car</w:t>
            </w:r>
          </w:p>
        </w:tc>
        <w:tc>
          <w:tcPr>
            <w:tcW w:w="613" w:type="dxa"/>
            <w:tcBorders>
              <w:top w:val="single" w:sz="4" w:space="0" w:color="auto"/>
              <w:left w:val="nil"/>
              <w:bottom w:val="single" w:sz="4" w:space="0" w:color="auto"/>
              <w:right w:val="single" w:sz="4" w:space="0" w:color="auto"/>
            </w:tcBorders>
            <w:shd w:val="clear" w:color="DCE6F1" w:fill="auto"/>
            <w:noWrap/>
            <w:vAlign w:val="center"/>
            <w:hideMark/>
          </w:tcPr>
          <w:p w14:paraId="4B0F5A01" w14:textId="77777777" w:rsidR="0093093E" w:rsidRPr="00A40217" w:rsidRDefault="0093093E" w:rsidP="00F02FAB">
            <w:pPr>
              <w:spacing w:after="0" w:line="240" w:lineRule="auto"/>
              <w:jc w:val="right"/>
              <w:rPr>
                <w:rFonts w:eastAsia="Times New Roman" w:cstheme="minorHAnsi"/>
                <w:b/>
                <w:bCs/>
                <w:sz w:val="18"/>
              </w:rPr>
            </w:pPr>
            <w:r w:rsidRPr="00A40217">
              <w:rPr>
                <w:rFonts w:eastAsia="Times New Roman" w:cstheme="minorHAnsi"/>
                <w:b/>
                <w:bCs/>
                <w:sz w:val="18"/>
              </w:rPr>
              <w:t>Bus</w:t>
            </w:r>
          </w:p>
        </w:tc>
        <w:tc>
          <w:tcPr>
            <w:tcW w:w="527" w:type="dxa"/>
            <w:tcBorders>
              <w:top w:val="single" w:sz="4" w:space="0" w:color="auto"/>
              <w:left w:val="nil"/>
              <w:bottom w:val="single" w:sz="4" w:space="0" w:color="auto"/>
              <w:right w:val="single" w:sz="4" w:space="0" w:color="auto"/>
            </w:tcBorders>
            <w:shd w:val="clear" w:color="DCE6F1" w:fill="auto"/>
            <w:noWrap/>
            <w:vAlign w:val="center"/>
            <w:hideMark/>
          </w:tcPr>
          <w:p w14:paraId="26FCC862" w14:textId="77777777" w:rsidR="0093093E" w:rsidRPr="00A40217" w:rsidRDefault="0093093E" w:rsidP="00F02FAB">
            <w:pPr>
              <w:spacing w:after="0" w:line="240" w:lineRule="auto"/>
              <w:jc w:val="right"/>
              <w:rPr>
                <w:rFonts w:eastAsia="Times New Roman" w:cstheme="minorHAnsi"/>
                <w:b/>
                <w:bCs/>
                <w:sz w:val="18"/>
              </w:rPr>
            </w:pPr>
            <w:r w:rsidRPr="00A40217">
              <w:rPr>
                <w:rFonts w:eastAsia="Times New Roman" w:cstheme="minorHAnsi"/>
                <w:b/>
                <w:bCs/>
                <w:sz w:val="18"/>
              </w:rPr>
              <w:t>3W</w:t>
            </w:r>
          </w:p>
        </w:tc>
        <w:tc>
          <w:tcPr>
            <w:tcW w:w="1045" w:type="dxa"/>
            <w:tcBorders>
              <w:top w:val="single" w:sz="4" w:space="0" w:color="auto"/>
              <w:left w:val="nil"/>
              <w:bottom w:val="single" w:sz="4" w:space="0" w:color="auto"/>
              <w:right w:val="single" w:sz="4" w:space="0" w:color="auto"/>
            </w:tcBorders>
            <w:shd w:val="clear" w:color="DCE6F1" w:fill="auto"/>
            <w:noWrap/>
            <w:vAlign w:val="center"/>
            <w:hideMark/>
          </w:tcPr>
          <w:p w14:paraId="4AA02048" w14:textId="77777777" w:rsidR="0093093E" w:rsidRPr="00A40217" w:rsidRDefault="0093093E" w:rsidP="00F02FAB">
            <w:pPr>
              <w:spacing w:after="0" w:line="240" w:lineRule="auto"/>
              <w:jc w:val="right"/>
              <w:rPr>
                <w:rFonts w:eastAsia="Times New Roman" w:cstheme="minorHAnsi"/>
                <w:b/>
                <w:bCs/>
                <w:sz w:val="18"/>
              </w:rPr>
            </w:pPr>
            <w:r w:rsidRPr="00A40217">
              <w:rPr>
                <w:rFonts w:eastAsia="Times New Roman" w:cstheme="minorHAnsi"/>
                <w:b/>
                <w:bCs/>
                <w:sz w:val="18"/>
              </w:rPr>
              <w:t>Cycle Rickshaw</w:t>
            </w:r>
          </w:p>
        </w:tc>
        <w:tc>
          <w:tcPr>
            <w:tcW w:w="700" w:type="dxa"/>
            <w:tcBorders>
              <w:top w:val="single" w:sz="4" w:space="0" w:color="auto"/>
              <w:left w:val="nil"/>
              <w:bottom w:val="single" w:sz="4" w:space="0" w:color="auto"/>
              <w:right w:val="single" w:sz="4" w:space="0" w:color="auto"/>
            </w:tcBorders>
            <w:shd w:val="clear" w:color="DCE6F1" w:fill="auto"/>
            <w:noWrap/>
            <w:vAlign w:val="center"/>
            <w:hideMark/>
          </w:tcPr>
          <w:p w14:paraId="7C034B56" w14:textId="77777777" w:rsidR="0093093E" w:rsidRPr="00A40217" w:rsidRDefault="0093093E" w:rsidP="00F02FAB">
            <w:pPr>
              <w:spacing w:after="0" w:line="240" w:lineRule="auto"/>
              <w:jc w:val="right"/>
              <w:rPr>
                <w:rFonts w:eastAsia="Times New Roman" w:cstheme="minorHAnsi"/>
                <w:b/>
                <w:bCs/>
                <w:sz w:val="18"/>
              </w:rPr>
            </w:pPr>
            <w:r w:rsidRPr="00A40217">
              <w:rPr>
                <w:rFonts w:eastAsia="Times New Roman" w:cstheme="minorHAnsi"/>
                <w:b/>
                <w:bCs/>
                <w:sz w:val="18"/>
              </w:rPr>
              <w:t>HDV</w:t>
            </w:r>
          </w:p>
        </w:tc>
        <w:tc>
          <w:tcPr>
            <w:tcW w:w="700" w:type="dxa"/>
            <w:tcBorders>
              <w:top w:val="single" w:sz="4" w:space="0" w:color="auto"/>
              <w:left w:val="nil"/>
              <w:bottom w:val="single" w:sz="4" w:space="0" w:color="auto"/>
              <w:right w:val="single" w:sz="4" w:space="0" w:color="auto"/>
            </w:tcBorders>
            <w:shd w:val="clear" w:color="DCE6F1" w:fill="auto"/>
            <w:noWrap/>
            <w:vAlign w:val="center"/>
            <w:hideMark/>
          </w:tcPr>
          <w:p w14:paraId="256E12A3" w14:textId="77777777" w:rsidR="0093093E" w:rsidRPr="00A40217" w:rsidRDefault="0093093E" w:rsidP="00F02FAB">
            <w:pPr>
              <w:spacing w:after="0" w:line="240" w:lineRule="auto"/>
              <w:jc w:val="right"/>
              <w:rPr>
                <w:rFonts w:eastAsia="Times New Roman" w:cstheme="minorHAnsi"/>
                <w:b/>
                <w:bCs/>
                <w:sz w:val="18"/>
              </w:rPr>
            </w:pPr>
            <w:r w:rsidRPr="00A40217">
              <w:rPr>
                <w:rFonts w:eastAsia="Times New Roman" w:cstheme="minorHAnsi"/>
                <w:b/>
                <w:bCs/>
                <w:sz w:val="18"/>
              </w:rPr>
              <w:t>LDV</w:t>
            </w:r>
          </w:p>
        </w:tc>
        <w:tc>
          <w:tcPr>
            <w:tcW w:w="757" w:type="dxa"/>
            <w:tcBorders>
              <w:top w:val="single" w:sz="4" w:space="0" w:color="auto"/>
              <w:left w:val="nil"/>
              <w:bottom w:val="single" w:sz="4" w:space="0" w:color="auto"/>
              <w:right w:val="single" w:sz="4" w:space="0" w:color="auto"/>
            </w:tcBorders>
            <w:shd w:val="clear" w:color="DCE6F1" w:fill="auto"/>
            <w:noWrap/>
            <w:vAlign w:val="center"/>
            <w:hideMark/>
          </w:tcPr>
          <w:p w14:paraId="0ACDBC61" w14:textId="77777777" w:rsidR="0093093E" w:rsidRPr="00A40217" w:rsidRDefault="0093093E" w:rsidP="00F02FAB">
            <w:pPr>
              <w:spacing w:after="0" w:line="240" w:lineRule="auto"/>
              <w:jc w:val="right"/>
              <w:rPr>
                <w:rFonts w:eastAsia="Times New Roman" w:cstheme="minorHAnsi"/>
                <w:b/>
                <w:bCs/>
                <w:sz w:val="18"/>
              </w:rPr>
            </w:pPr>
            <w:r w:rsidRPr="00A40217">
              <w:rPr>
                <w:rFonts w:eastAsia="Times New Roman" w:cstheme="minorHAnsi"/>
                <w:b/>
                <w:bCs/>
                <w:sz w:val="18"/>
              </w:rPr>
              <w:t>NMT Goods</w:t>
            </w:r>
          </w:p>
        </w:tc>
        <w:tc>
          <w:tcPr>
            <w:tcW w:w="643" w:type="dxa"/>
            <w:tcBorders>
              <w:top w:val="single" w:sz="4" w:space="0" w:color="auto"/>
              <w:left w:val="nil"/>
              <w:bottom w:val="single" w:sz="4" w:space="0" w:color="auto"/>
              <w:right w:val="single" w:sz="4" w:space="0" w:color="auto"/>
            </w:tcBorders>
            <w:shd w:val="clear" w:color="DCE6F1" w:fill="auto"/>
            <w:vAlign w:val="center"/>
          </w:tcPr>
          <w:p w14:paraId="11C07B74" w14:textId="77777777" w:rsidR="0093093E" w:rsidRPr="00A40217" w:rsidRDefault="0093093E" w:rsidP="00F02FAB">
            <w:pPr>
              <w:spacing w:after="0" w:line="240" w:lineRule="auto"/>
              <w:jc w:val="right"/>
              <w:rPr>
                <w:rFonts w:eastAsia="Times New Roman" w:cstheme="minorHAnsi"/>
                <w:b/>
                <w:bCs/>
                <w:sz w:val="18"/>
              </w:rPr>
            </w:pPr>
            <w:r w:rsidRPr="00A40217">
              <w:rPr>
                <w:rFonts w:eastAsia="Times New Roman" w:cstheme="minorHAnsi"/>
                <w:b/>
                <w:bCs/>
                <w:sz w:val="18"/>
              </w:rPr>
              <w:t>All</w:t>
            </w:r>
          </w:p>
        </w:tc>
      </w:tr>
      <w:tr w:rsidR="0093093E" w:rsidRPr="00A40217" w14:paraId="0C0B6603" w14:textId="77777777" w:rsidTr="0058758F">
        <w:trPr>
          <w:trHeight w:val="227"/>
        </w:trPr>
        <w:tc>
          <w:tcPr>
            <w:tcW w:w="1162" w:type="dxa"/>
            <w:tcBorders>
              <w:top w:val="nil"/>
              <w:left w:val="single" w:sz="4" w:space="0" w:color="auto"/>
              <w:bottom w:val="single" w:sz="4" w:space="0" w:color="auto"/>
              <w:right w:val="single" w:sz="4" w:space="0" w:color="auto"/>
            </w:tcBorders>
            <w:shd w:val="clear" w:color="auto" w:fill="auto"/>
            <w:noWrap/>
            <w:vAlign w:val="center"/>
            <w:hideMark/>
          </w:tcPr>
          <w:p w14:paraId="3FC8C8E9" w14:textId="77777777" w:rsidR="0093093E" w:rsidRPr="00A40217" w:rsidRDefault="0093093E" w:rsidP="00F02FAB">
            <w:pPr>
              <w:spacing w:after="0" w:line="240" w:lineRule="auto"/>
              <w:rPr>
                <w:rFonts w:eastAsia="Times New Roman" w:cstheme="minorHAnsi"/>
                <w:b/>
                <w:bCs/>
                <w:sz w:val="20"/>
              </w:rPr>
            </w:pPr>
            <w:r w:rsidRPr="00A40217">
              <w:rPr>
                <w:rFonts w:eastAsia="Times New Roman" w:cstheme="minorHAnsi"/>
                <w:b/>
                <w:bCs/>
                <w:sz w:val="20"/>
              </w:rPr>
              <w:t>Self</w:t>
            </w:r>
          </w:p>
        </w:tc>
        <w:tc>
          <w:tcPr>
            <w:tcW w:w="1005" w:type="dxa"/>
            <w:tcBorders>
              <w:top w:val="nil"/>
              <w:left w:val="nil"/>
              <w:bottom w:val="single" w:sz="4" w:space="0" w:color="auto"/>
              <w:right w:val="single" w:sz="4" w:space="0" w:color="auto"/>
            </w:tcBorders>
            <w:shd w:val="clear" w:color="auto" w:fill="auto"/>
            <w:noWrap/>
            <w:vAlign w:val="center"/>
            <w:hideMark/>
          </w:tcPr>
          <w:p w14:paraId="14D06B4A"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0</w:t>
            </w:r>
          </w:p>
        </w:tc>
        <w:tc>
          <w:tcPr>
            <w:tcW w:w="700" w:type="dxa"/>
            <w:tcBorders>
              <w:top w:val="nil"/>
              <w:left w:val="nil"/>
              <w:bottom w:val="single" w:sz="4" w:space="0" w:color="auto"/>
              <w:right w:val="single" w:sz="4" w:space="0" w:color="auto"/>
            </w:tcBorders>
            <w:shd w:val="clear" w:color="auto" w:fill="auto"/>
            <w:noWrap/>
            <w:vAlign w:val="center"/>
            <w:hideMark/>
          </w:tcPr>
          <w:p w14:paraId="1AB0A4CA"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0</w:t>
            </w:r>
          </w:p>
        </w:tc>
        <w:tc>
          <w:tcPr>
            <w:tcW w:w="527" w:type="dxa"/>
            <w:tcBorders>
              <w:top w:val="nil"/>
              <w:left w:val="nil"/>
              <w:bottom w:val="single" w:sz="4" w:space="0" w:color="auto"/>
              <w:right w:val="single" w:sz="4" w:space="0" w:color="auto"/>
            </w:tcBorders>
            <w:shd w:val="clear" w:color="auto" w:fill="auto"/>
            <w:noWrap/>
            <w:vAlign w:val="center"/>
            <w:hideMark/>
          </w:tcPr>
          <w:p w14:paraId="05AEA7FD"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13</w:t>
            </w:r>
          </w:p>
        </w:tc>
        <w:tc>
          <w:tcPr>
            <w:tcW w:w="613" w:type="dxa"/>
            <w:tcBorders>
              <w:top w:val="nil"/>
              <w:left w:val="nil"/>
              <w:bottom w:val="single" w:sz="4" w:space="0" w:color="auto"/>
              <w:right w:val="single" w:sz="4" w:space="0" w:color="auto"/>
            </w:tcBorders>
            <w:shd w:val="clear" w:color="auto" w:fill="auto"/>
            <w:noWrap/>
            <w:vAlign w:val="center"/>
            <w:hideMark/>
          </w:tcPr>
          <w:p w14:paraId="186F36C8"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33</w:t>
            </w:r>
          </w:p>
        </w:tc>
        <w:tc>
          <w:tcPr>
            <w:tcW w:w="613" w:type="dxa"/>
            <w:tcBorders>
              <w:top w:val="nil"/>
              <w:left w:val="nil"/>
              <w:bottom w:val="single" w:sz="4" w:space="0" w:color="auto"/>
              <w:right w:val="single" w:sz="4" w:space="0" w:color="auto"/>
            </w:tcBorders>
            <w:shd w:val="clear" w:color="auto" w:fill="auto"/>
            <w:noWrap/>
            <w:vAlign w:val="center"/>
            <w:hideMark/>
          </w:tcPr>
          <w:p w14:paraId="7D954E06"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10</w:t>
            </w:r>
          </w:p>
        </w:tc>
        <w:tc>
          <w:tcPr>
            <w:tcW w:w="527" w:type="dxa"/>
            <w:tcBorders>
              <w:top w:val="nil"/>
              <w:left w:val="nil"/>
              <w:bottom w:val="single" w:sz="4" w:space="0" w:color="auto"/>
              <w:right w:val="single" w:sz="4" w:space="0" w:color="auto"/>
            </w:tcBorders>
            <w:shd w:val="clear" w:color="auto" w:fill="auto"/>
            <w:noWrap/>
            <w:vAlign w:val="center"/>
            <w:hideMark/>
          </w:tcPr>
          <w:p w14:paraId="63DF454C"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27</w:t>
            </w:r>
          </w:p>
        </w:tc>
        <w:tc>
          <w:tcPr>
            <w:tcW w:w="1045" w:type="dxa"/>
            <w:tcBorders>
              <w:top w:val="nil"/>
              <w:left w:val="nil"/>
              <w:bottom w:val="single" w:sz="4" w:space="0" w:color="auto"/>
              <w:right w:val="single" w:sz="4" w:space="0" w:color="auto"/>
            </w:tcBorders>
            <w:shd w:val="clear" w:color="auto" w:fill="auto"/>
            <w:noWrap/>
            <w:vAlign w:val="center"/>
            <w:hideMark/>
          </w:tcPr>
          <w:p w14:paraId="07725E0A"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0</w:t>
            </w:r>
          </w:p>
        </w:tc>
        <w:tc>
          <w:tcPr>
            <w:tcW w:w="700" w:type="dxa"/>
            <w:tcBorders>
              <w:top w:val="nil"/>
              <w:left w:val="nil"/>
              <w:bottom w:val="single" w:sz="4" w:space="0" w:color="auto"/>
              <w:right w:val="single" w:sz="4" w:space="0" w:color="auto"/>
            </w:tcBorders>
            <w:shd w:val="clear" w:color="auto" w:fill="auto"/>
            <w:noWrap/>
            <w:vAlign w:val="center"/>
            <w:hideMark/>
          </w:tcPr>
          <w:p w14:paraId="498E488D"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41</w:t>
            </w:r>
          </w:p>
        </w:tc>
        <w:tc>
          <w:tcPr>
            <w:tcW w:w="700" w:type="dxa"/>
            <w:tcBorders>
              <w:top w:val="nil"/>
              <w:left w:val="nil"/>
              <w:bottom w:val="single" w:sz="4" w:space="0" w:color="auto"/>
              <w:right w:val="single" w:sz="4" w:space="0" w:color="auto"/>
            </w:tcBorders>
            <w:shd w:val="clear" w:color="auto" w:fill="auto"/>
            <w:noWrap/>
            <w:vAlign w:val="center"/>
            <w:hideMark/>
          </w:tcPr>
          <w:p w14:paraId="7282156C"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47</w:t>
            </w:r>
          </w:p>
        </w:tc>
        <w:tc>
          <w:tcPr>
            <w:tcW w:w="757" w:type="dxa"/>
            <w:tcBorders>
              <w:top w:val="nil"/>
              <w:left w:val="nil"/>
              <w:bottom w:val="single" w:sz="4" w:space="0" w:color="auto"/>
              <w:right w:val="single" w:sz="4" w:space="0" w:color="auto"/>
            </w:tcBorders>
            <w:shd w:val="clear" w:color="auto" w:fill="auto"/>
            <w:noWrap/>
            <w:vAlign w:val="center"/>
            <w:hideMark/>
          </w:tcPr>
          <w:p w14:paraId="037CC607"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0</w:t>
            </w:r>
          </w:p>
        </w:tc>
        <w:tc>
          <w:tcPr>
            <w:tcW w:w="643" w:type="dxa"/>
            <w:tcBorders>
              <w:top w:val="nil"/>
              <w:left w:val="nil"/>
              <w:bottom w:val="single" w:sz="4" w:space="0" w:color="auto"/>
              <w:right w:val="single" w:sz="4" w:space="0" w:color="auto"/>
            </w:tcBorders>
            <w:vAlign w:val="center"/>
          </w:tcPr>
          <w:p w14:paraId="64C59C55"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8</w:t>
            </w:r>
          </w:p>
        </w:tc>
      </w:tr>
      <w:tr w:rsidR="0093093E" w:rsidRPr="00A40217" w14:paraId="53F25652" w14:textId="77777777" w:rsidTr="0058758F">
        <w:trPr>
          <w:trHeight w:val="227"/>
        </w:trPr>
        <w:tc>
          <w:tcPr>
            <w:tcW w:w="1162" w:type="dxa"/>
            <w:tcBorders>
              <w:top w:val="nil"/>
              <w:left w:val="single" w:sz="4" w:space="0" w:color="auto"/>
              <w:bottom w:val="single" w:sz="4" w:space="0" w:color="auto"/>
              <w:right w:val="single" w:sz="4" w:space="0" w:color="auto"/>
            </w:tcBorders>
            <w:shd w:val="clear" w:color="auto" w:fill="auto"/>
            <w:noWrap/>
            <w:vAlign w:val="center"/>
            <w:hideMark/>
          </w:tcPr>
          <w:p w14:paraId="2C55419B" w14:textId="77777777" w:rsidR="0093093E" w:rsidRPr="00A40217" w:rsidRDefault="0093093E" w:rsidP="00F02FAB">
            <w:pPr>
              <w:spacing w:after="0" w:line="240" w:lineRule="auto"/>
              <w:rPr>
                <w:rFonts w:eastAsia="Times New Roman" w:cstheme="minorHAnsi"/>
                <w:b/>
                <w:bCs/>
                <w:sz w:val="20"/>
              </w:rPr>
            </w:pPr>
            <w:r w:rsidRPr="00A40217">
              <w:rPr>
                <w:rFonts w:eastAsia="Times New Roman" w:cstheme="minorHAnsi"/>
                <w:b/>
                <w:bCs/>
                <w:sz w:val="20"/>
              </w:rPr>
              <w:t>2W</w:t>
            </w:r>
          </w:p>
        </w:tc>
        <w:tc>
          <w:tcPr>
            <w:tcW w:w="1005" w:type="dxa"/>
            <w:tcBorders>
              <w:top w:val="nil"/>
              <w:left w:val="nil"/>
              <w:bottom w:val="single" w:sz="4" w:space="0" w:color="auto"/>
              <w:right w:val="single" w:sz="4" w:space="0" w:color="auto"/>
            </w:tcBorders>
            <w:shd w:val="clear" w:color="auto" w:fill="auto"/>
            <w:noWrap/>
            <w:vAlign w:val="center"/>
            <w:hideMark/>
          </w:tcPr>
          <w:p w14:paraId="5DC299D8"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16</w:t>
            </w:r>
          </w:p>
        </w:tc>
        <w:tc>
          <w:tcPr>
            <w:tcW w:w="700" w:type="dxa"/>
            <w:tcBorders>
              <w:top w:val="nil"/>
              <w:left w:val="nil"/>
              <w:bottom w:val="single" w:sz="4" w:space="0" w:color="auto"/>
              <w:right w:val="single" w:sz="4" w:space="0" w:color="auto"/>
            </w:tcBorders>
            <w:shd w:val="clear" w:color="auto" w:fill="auto"/>
            <w:noWrap/>
            <w:vAlign w:val="center"/>
            <w:hideMark/>
          </w:tcPr>
          <w:p w14:paraId="0D94D8B3"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9</w:t>
            </w:r>
          </w:p>
        </w:tc>
        <w:tc>
          <w:tcPr>
            <w:tcW w:w="527" w:type="dxa"/>
            <w:tcBorders>
              <w:top w:val="nil"/>
              <w:left w:val="nil"/>
              <w:bottom w:val="single" w:sz="4" w:space="0" w:color="auto"/>
              <w:right w:val="single" w:sz="4" w:space="0" w:color="auto"/>
            </w:tcBorders>
            <w:shd w:val="clear" w:color="auto" w:fill="auto"/>
            <w:noWrap/>
            <w:vAlign w:val="center"/>
            <w:hideMark/>
          </w:tcPr>
          <w:p w14:paraId="224A0DB7"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4</w:t>
            </w:r>
          </w:p>
        </w:tc>
        <w:tc>
          <w:tcPr>
            <w:tcW w:w="613" w:type="dxa"/>
            <w:tcBorders>
              <w:top w:val="nil"/>
              <w:left w:val="nil"/>
              <w:bottom w:val="single" w:sz="4" w:space="0" w:color="auto"/>
              <w:right w:val="single" w:sz="4" w:space="0" w:color="auto"/>
            </w:tcBorders>
            <w:shd w:val="clear" w:color="auto" w:fill="auto"/>
            <w:noWrap/>
            <w:vAlign w:val="center"/>
            <w:hideMark/>
          </w:tcPr>
          <w:p w14:paraId="0DFCF249"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2</w:t>
            </w:r>
          </w:p>
        </w:tc>
        <w:tc>
          <w:tcPr>
            <w:tcW w:w="613" w:type="dxa"/>
            <w:tcBorders>
              <w:top w:val="nil"/>
              <w:left w:val="nil"/>
              <w:bottom w:val="single" w:sz="4" w:space="0" w:color="auto"/>
              <w:right w:val="single" w:sz="4" w:space="0" w:color="auto"/>
            </w:tcBorders>
            <w:shd w:val="clear" w:color="auto" w:fill="auto"/>
            <w:noWrap/>
            <w:vAlign w:val="center"/>
            <w:hideMark/>
          </w:tcPr>
          <w:p w14:paraId="3BE794F7"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2</w:t>
            </w:r>
          </w:p>
        </w:tc>
        <w:tc>
          <w:tcPr>
            <w:tcW w:w="527" w:type="dxa"/>
            <w:tcBorders>
              <w:top w:val="nil"/>
              <w:left w:val="nil"/>
              <w:bottom w:val="single" w:sz="4" w:space="0" w:color="auto"/>
              <w:right w:val="single" w:sz="4" w:space="0" w:color="auto"/>
            </w:tcBorders>
            <w:shd w:val="clear" w:color="auto" w:fill="auto"/>
            <w:noWrap/>
            <w:vAlign w:val="center"/>
            <w:hideMark/>
          </w:tcPr>
          <w:p w14:paraId="3E4A9548"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w:t>
            </w:r>
          </w:p>
        </w:tc>
        <w:tc>
          <w:tcPr>
            <w:tcW w:w="1045" w:type="dxa"/>
            <w:tcBorders>
              <w:top w:val="nil"/>
              <w:left w:val="nil"/>
              <w:bottom w:val="single" w:sz="4" w:space="0" w:color="auto"/>
              <w:right w:val="single" w:sz="4" w:space="0" w:color="auto"/>
            </w:tcBorders>
            <w:shd w:val="clear" w:color="auto" w:fill="auto"/>
            <w:noWrap/>
            <w:vAlign w:val="center"/>
            <w:hideMark/>
          </w:tcPr>
          <w:p w14:paraId="4E4DC4EB"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20</w:t>
            </w:r>
          </w:p>
        </w:tc>
        <w:tc>
          <w:tcPr>
            <w:tcW w:w="700" w:type="dxa"/>
            <w:tcBorders>
              <w:top w:val="nil"/>
              <w:left w:val="nil"/>
              <w:bottom w:val="single" w:sz="4" w:space="0" w:color="auto"/>
              <w:right w:val="single" w:sz="4" w:space="0" w:color="auto"/>
            </w:tcBorders>
            <w:shd w:val="clear" w:color="auto" w:fill="auto"/>
            <w:noWrap/>
            <w:vAlign w:val="center"/>
            <w:hideMark/>
          </w:tcPr>
          <w:p w14:paraId="18885C71"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2</w:t>
            </w:r>
          </w:p>
        </w:tc>
        <w:tc>
          <w:tcPr>
            <w:tcW w:w="700" w:type="dxa"/>
            <w:tcBorders>
              <w:top w:val="nil"/>
              <w:left w:val="nil"/>
              <w:bottom w:val="single" w:sz="4" w:space="0" w:color="auto"/>
              <w:right w:val="single" w:sz="4" w:space="0" w:color="auto"/>
            </w:tcBorders>
            <w:shd w:val="clear" w:color="auto" w:fill="auto"/>
            <w:noWrap/>
            <w:vAlign w:val="center"/>
            <w:hideMark/>
          </w:tcPr>
          <w:p w14:paraId="424F1233"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w:t>
            </w:r>
          </w:p>
        </w:tc>
        <w:tc>
          <w:tcPr>
            <w:tcW w:w="757" w:type="dxa"/>
            <w:tcBorders>
              <w:top w:val="nil"/>
              <w:left w:val="nil"/>
              <w:bottom w:val="single" w:sz="4" w:space="0" w:color="auto"/>
              <w:right w:val="single" w:sz="4" w:space="0" w:color="auto"/>
            </w:tcBorders>
            <w:shd w:val="clear" w:color="auto" w:fill="auto"/>
            <w:noWrap/>
            <w:vAlign w:val="center"/>
            <w:hideMark/>
          </w:tcPr>
          <w:p w14:paraId="6E79FC60"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0</w:t>
            </w:r>
          </w:p>
        </w:tc>
        <w:tc>
          <w:tcPr>
            <w:tcW w:w="643" w:type="dxa"/>
            <w:tcBorders>
              <w:top w:val="nil"/>
              <w:left w:val="nil"/>
              <w:bottom w:val="single" w:sz="4" w:space="0" w:color="auto"/>
              <w:right w:val="single" w:sz="4" w:space="0" w:color="auto"/>
            </w:tcBorders>
            <w:vAlign w:val="center"/>
          </w:tcPr>
          <w:p w14:paraId="58D3E483"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10</w:t>
            </w:r>
          </w:p>
        </w:tc>
      </w:tr>
      <w:tr w:rsidR="0093093E" w:rsidRPr="00A40217" w14:paraId="5AE314B1" w14:textId="77777777" w:rsidTr="0058758F">
        <w:trPr>
          <w:trHeight w:val="227"/>
        </w:trPr>
        <w:tc>
          <w:tcPr>
            <w:tcW w:w="1162" w:type="dxa"/>
            <w:tcBorders>
              <w:top w:val="nil"/>
              <w:left w:val="single" w:sz="4" w:space="0" w:color="auto"/>
              <w:bottom w:val="single" w:sz="4" w:space="0" w:color="auto"/>
              <w:right w:val="single" w:sz="4" w:space="0" w:color="auto"/>
            </w:tcBorders>
            <w:shd w:val="clear" w:color="auto" w:fill="auto"/>
            <w:noWrap/>
            <w:vAlign w:val="center"/>
            <w:hideMark/>
          </w:tcPr>
          <w:p w14:paraId="12E674BD" w14:textId="77777777" w:rsidR="0093093E" w:rsidRPr="00A40217" w:rsidRDefault="0093093E" w:rsidP="00F02FAB">
            <w:pPr>
              <w:spacing w:after="0" w:line="240" w:lineRule="auto"/>
              <w:rPr>
                <w:rFonts w:eastAsia="Times New Roman" w:cstheme="minorHAnsi"/>
                <w:b/>
                <w:bCs/>
                <w:sz w:val="20"/>
              </w:rPr>
            </w:pPr>
            <w:r w:rsidRPr="00A40217">
              <w:rPr>
                <w:rFonts w:eastAsia="Times New Roman" w:cstheme="minorHAnsi"/>
                <w:b/>
                <w:bCs/>
                <w:sz w:val="20"/>
              </w:rPr>
              <w:t>Car</w:t>
            </w:r>
          </w:p>
        </w:tc>
        <w:tc>
          <w:tcPr>
            <w:tcW w:w="1005" w:type="dxa"/>
            <w:tcBorders>
              <w:top w:val="nil"/>
              <w:left w:val="nil"/>
              <w:bottom w:val="single" w:sz="4" w:space="0" w:color="auto"/>
              <w:right w:val="single" w:sz="4" w:space="0" w:color="auto"/>
            </w:tcBorders>
            <w:shd w:val="clear" w:color="auto" w:fill="auto"/>
            <w:noWrap/>
            <w:vAlign w:val="center"/>
            <w:hideMark/>
          </w:tcPr>
          <w:p w14:paraId="2E192E2F"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33</w:t>
            </w:r>
          </w:p>
        </w:tc>
        <w:tc>
          <w:tcPr>
            <w:tcW w:w="700" w:type="dxa"/>
            <w:tcBorders>
              <w:top w:val="nil"/>
              <w:left w:val="nil"/>
              <w:bottom w:val="single" w:sz="4" w:space="0" w:color="auto"/>
              <w:right w:val="single" w:sz="4" w:space="0" w:color="auto"/>
            </w:tcBorders>
            <w:shd w:val="clear" w:color="auto" w:fill="auto"/>
            <w:noWrap/>
            <w:vAlign w:val="center"/>
            <w:hideMark/>
          </w:tcPr>
          <w:p w14:paraId="170D8B68"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26</w:t>
            </w:r>
          </w:p>
        </w:tc>
        <w:tc>
          <w:tcPr>
            <w:tcW w:w="527" w:type="dxa"/>
            <w:tcBorders>
              <w:top w:val="nil"/>
              <w:left w:val="nil"/>
              <w:bottom w:val="single" w:sz="4" w:space="0" w:color="auto"/>
              <w:right w:val="single" w:sz="4" w:space="0" w:color="auto"/>
            </w:tcBorders>
            <w:shd w:val="clear" w:color="auto" w:fill="auto"/>
            <w:noWrap/>
            <w:vAlign w:val="center"/>
            <w:hideMark/>
          </w:tcPr>
          <w:p w14:paraId="7DA9CF72"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24</w:t>
            </w:r>
          </w:p>
        </w:tc>
        <w:tc>
          <w:tcPr>
            <w:tcW w:w="613" w:type="dxa"/>
            <w:tcBorders>
              <w:top w:val="nil"/>
              <w:left w:val="nil"/>
              <w:bottom w:val="single" w:sz="4" w:space="0" w:color="auto"/>
              <w:right w:val="single" w:sz="4" w:space="0" w:color="auto"/>
            </w:tcBorders>
            <w:shd w:val="clear" w:color="auto" w:fill="auto"/>
            <w:noWrap/>
            <w:vAlign w:val="center"/>
            <w:hideMark/>
          </w:tcPr>
          <w:p w14:paraId="7688513B"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20</w:t>
            </w:r>
          </w:p>
        </w:tc>
        <w:tc>
          <w:tcPr>
            <w:tcW w:w="613" w:type="dxa"/>
            <w:tcBorders>
              <w:top w:val="nil"/>
              <w:left w:val="nil"/>
              <w:bottom w:val="single" w:sz="4" w:space="0" w:color="auto"/>
              <w:right w:val="single" w:sz="4" w:space="0" w:color="auto"/>
            </w:tcBorders>
            <w:shd w:val="clear" w:color="auto" w:fill="auto"/>
            <w:noWrap/>
            <w:vAlign w:val="center"/>
            <w:hideMark/>
          </w:tcPr>
          <w:p w14:paraId="66A13858"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5</w:t>
            </w:r>
          </w:p>
        </w:tc>
        <w:tc>
          <w:tcPr>
            <w:tcW w:w="527" w:type="dxa"/>
            <w:tcBorders>
              <w:top w:val="nil"/>
              <w:left w:val="nil"/>
              <w:bottom w:val="single" w:sz="4" w:space="0" w:color="auto"/>
              <w:right w:val="single" w:sz="4" w:space="0" w:color="auto"/>
            </w:tcBorders>
            <w:shd w:val="clear" w:color="auto" w:fill="auto"/>
            <w:noWrap/>
            <w:vAlign w:val="center"/>
            <w:hideMark/>
          </w:tcPr>
          <w:p w14:paraId="51FB882C"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26</w:t>
            </w:r>
          </w:p>
        </w:tc>
        <w:tc>
          <w:tcPr>
            <w:tcW w:w="1045" w:type="dxa"/>
            <w:tcBorders>
              <w:top w:val="nil"/>
              <w:left w:val="nil"/>
              <w:bottom w:val="single" w:sz="4" w:space="0" w:color="auto"/>
              <w:right w:val="single" w:sz="4" w:space="0" w:color="auto"/>
            </w:tcBorders>
            <w:shd w:val="clear" w:color="auto" w:fill="auto"/>
            <w:noWrap/>
            <w:vAlign w:val="center"/>
            <w:hideMark/>
          </w:tcPr>
          <w:p w14:paraId="39A3D1A8"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32</w:t>
            </w:r>
          </w:p>
        </w:tc>
        <w:tc>
          <w:tcPr>
            <w:tcW w:w="700" w:type="dxa"/>
            <w:tcBorders>
              <w:top w:val="nil"/>
              <w:left w:val="nil"/>
              <w:bottom w:val="single" w:sz="4" w:space="0" w:color="auto"/>
              <w:right w:val="single" w:sz="4" w:space="0" w:color="auto"/>
            </w:tcBorders>
            <w:shd w:val="clear" w:color="auto" w:fill="auto"/>
            <w:noWrap/>
            <w:vAlign w:val="center"/>
            <w:hideMark/>
          </w:tcPr>
          <w:p w14:paraId="5CAEF36B"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13</w:t>
            </w:r>
          </w:p>
        </w:tc>
        <w:tc>
          <w:tcPr>
            <w:tcW w:w="700" w:type="dxa"/>
            <w:tcBorders>
              <w:top w:val="nil"/>
              <w:left w:val="nil"/>
              <w:bottom w:val="single" w:sz="4" w:space="0" w:color="auto"/>
              <w:right w:val="single" w:sz="4" w:space="0" w:color="auto"/>
            </w:tcBorders>
            <w:shd w:val="clear" w:color="auto" w:fill="auto"/>
            <w:noWrap/>
            <w:vAlign w:val="center"/>
            <w:hideMark/>
          </w:tcPr>
          <w:p w14:paraId="3EBD4476"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9</w:t>
            </w:r>
          </w:p>
        </w:tc>
        <w:tc>
          <w:tcPr>
            <w:tcW w:w="757" w:type="dxa"/>
            <w:tcBorders>
              <w:top w:val="nil"/>
              <w:left w:val="nil"/>
              <w:bottom w:val="single" w:sz="4" w:space="0" w:color="auto"/>
              <w:right w:val="single" w:sz="4" w:space="0" w:color="auto"/>
            </w:tcBorders>
            <w:shd w:val="clear" w:color="auto" w:fill="auto"/>
            <w:noWrap/>
            <w:vAlign w:val="center"/>
            <w:hideMark/>
          </w:tcPr>
          <w:p w14:paraId="7DF82E9E"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26</w:t>
            </w:r>
          </w:p>
        </w:tc>
        <w:tc>
          <w:tcPr>
            <w:tcW w:w="643" w:type="dxa"/>
            <w:tcBorders>
              <w:top w:val="nil"/>
              <w:left w:val="nil"/>
              <w:bottom w:val="single" w:sz="4" w:space="0" w:color="auto"/>
              <w:right w:val="single" w:sz="4" w:space="0" w:color="auto"/>
            </w:tcBorders>
            <w:vAlign w:val="center"/>
          </w:tcPr>
          <w:p w14:paraId="352155BD"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27</w:t>
            </w:r>
          </w:p>
        </w:tc>
      </w:tr>
      <w:tr w:rsidR="0093093E" w:rsidRPr="00A40217" w14:paraId="47FE3FCC" w14:textId="77777777" w:rsidTr="0058758F">
        <w:trPr>
          <w:trHeight w:val="227"/>
        </w:trPr>
        <w:tc>
          <w:tcPr>
            <w:tcW w:w="1162" w:type="dxa"/>
            <w:tcBorders>
              <w:top w:val="nil"/>
              <w:left w:val="single" w:sz="4" w:space="0" w:color="auto"/>
              <w:bottom w:val="single" w:sz="4" w:space="0" w:color="auto"/>
              <w:right w:val="single" w:sz="4" w:space="0" w:color="auto"/>
            </w:tcBorders>
            <w:shd w:val="clear" w:color="auto" w:fill="auto"/>
            <w:noWrap/>
            <w:vAlign w:val="center"/>
            <w:hideMark/>
          </w:tcPr>
          <w:p w14:paraId="549DACC1" w14:textId="77777777" w:rsidR="0093093E" w:rsidRPr="00A40217" w:rsidRDefault="0093093E" w:rsidP="00F02FAB">
            <w:pPr>
              <w:spacing w:after="0" w:line="240" w:lineRule="auto"/>
              <w:rPr>
                <w:rFonts w:eastAsia="Times New Roman" w:cstheme="minorHAnsi"/>
                <w:b/>
                <w:bCs/>
                <w:sz w:val="20"/>
              </w:rPr>
            </w:pPr>
            <w:r w:rsidRPr="00A40217">
              <w:rPr>
                <w:rFonts w:eastAsia="Times New Roman" w:cstheme="minorHAnsi"/>
                <w:b/>
                <w:bCs/>
                <w:sz w:val="20"/>
              </w:rPr>
              <w:t>3W</w:t>
            </w:r>
          </w:p>
        </w:tc>
        <w:tc>
          <w:tcPr>
            <w:tcW w:w="1005" w:type="dxa"/>
            <w:tcBorders>
              <w:top w:val="nil"/>
              <w:left w:val="nil"/>
              <w:bottom w:val="single" w:sz="4" w:space="0" w:color="auto"/>
              <w:right w:val="single" w:sz="4" w:space="0" w:color="auto"/>
            </w:tcBorders>
            <w:shd w:val="clear" w:color="auto" w:fill="auto"/>
            <w:noWrap/>
            <w:vAlign w:val="center"/>
            <w:hideMark/>
          </w:tcPr>
          <w:p w14:paraId="3FF95BE1"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3</w:t>
            </w:r>
          </w:p>
        </w:tc>
        <w:tc>
          <w:tcPr>
            <w:tcW w:w="700" w:type="dxa"/>
            <w:tcBorders>
              <w:top w:val="nil"/>
              <w:left w:val="nil"/>
              <w:bottom w:val="single" w:sz="4" w:space="0" w:color="auto"/>
              <w:right w:val="single" w:sz="4" w:space="0" w:color="auto"/>
            </w:tcBorders>
            <w:shd w:val="clear" w:color="auto" w:fill="auto"/>
            <w:noWrap/>
            <w:vAlign w:val="center"/>
            <w:hideMark/>
          </w:tcPr>
          <w:p w14:paraId="5C469290"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3</w:t>
            </w:r>
          </w:p>
        </w:tc>
        <w:tc>
          <w:tcPr>
            <w:tcW w:w="527" w:type="dxa"/>
            <w:tcBorders>
              <w:top w:val="nil"/>
              <w:left w:val="nil"/>
              <w:bottom w:val="single" w:sz="4" w:space="0" w:color="auto"/>
              <w:right w:val="single" w:sz="4" w:space="0" w:color="auto"/>
            </w:tcBorders>
            <w:shd w:val="clear" w:color="auto" w:fill="auto"/>
            <w:noWrap/>
            <w:vAlign w:val="center"/>
            <w:hideMark/>
          </w:tcPr>
          <w:p w14:paraId="1A7197A0"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2</w:t>
            </w:r>
          </w:p>
        </w:tc>
        <w:tc>
          <w:tcPr>
            <w:tcW w:w="613" w:type="dxa"/>
            <w:tcBorders>
              <w:top w:val="nil"/>
              <w:left w:val="nil"/>
              <w:bottom w:val="single" w:sz="4" w:space="0" w:color="auto"/>
              <w:right w:val="single" w:sz="4" w:space="0" w:color="auto"/>
            </w:tcBorders>
            <w:shd w:val="clear" w:color="auto" w:fill="auto"/>
            <w:noWrap/>
            <w:vAlign w:val="center"/>
            <w:hideMark/>
          </w:tcPr>
          <w:p w14:paraId="12D28B87"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w:t>
            </w:r>
          </w:p>
        </w:tc>
        <w:tc>
          <w:tcPr>
            <w:tcW w:w="613" w:type="dxa"/>
            <w:tcBorders>
              <w:top w:val="nil"/>
              <w:left w:val="nil"/>
              <w:bottom w:val="single" w:sz="4" w:space="0" w:color="auto"/>
              <w:right w:val="single" w:sz="4" w:space="0" w:color="auto"/>
            </w:tcBorders>
            <w:shd w:val="clear" w:color="auto" w:fill="auto"/>
            <w:noWrap/>
            <w:vAlign w:val="center"/>
            <w:hideMark/>
          </w:tcPr>
          <w:p w14:paraId="323F6893"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w:t>
            </w:r>
          </w:p>
        </w:tc>
        <w:tc>
          <w:tcPr>
            <w:tcW w:w="527" w:type="dxa"/>
            <w:tcBorders>
              <w:top w:val="nil"/>
              <w:left w:val="nil"/>
              <w:bottom w:val="single" w:sz="4" w:space="0" w:color="auto"/>
              <w:right w:val="single" w:sz="4" w:space="0" w:color="auto"/>
            </w:tcBorders>
            <w:shd w:val="clear" w:color="auto" w:fill="auto"/>
            <w:noWrap/>
            <w:vAlign w:val="center"/>
            <w:hideMark/>
          </w:tcPr>
          <w:p w14:paraId="459BA186"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5</w:t>
            </w:r>
          </w:p>
        </w:tc>
        <w:tc>
          <w:tcPr>
            <w:tcW w:w="1045" w:type="dxa"/>
            <w:tcBorders>
              <w:top w:val="nil"/>
              <w:left w:val="nil"/>
              <w:bottom w:val="single" w:sz="4" w:space="0" w:color="auto"/>
              <w:right w:val="single" w:sz="4" w:space="0" w:color="auto"/>
            </w:tcBorders>
            <w:shd w:val="clear" w:color="auto" w:fill="auto"/>
            <w:noWrap/>
            <w:vAlign w:val="center"/>
            <w:hideMark/>
          </w:tcPr>
          <w:p w14:paraId="7E906E83"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w:t>
            </w:r>
          </w:p>
        </w:tc>
        <w:tc>
          <w:tcPr>
            <w:tcW w:w="700" w:type="dxa"/>
            <w:tcBorders>
              <w:top w:val="nil"/>
              <w:left w:val="nil"/>
              <w:bottom w:val="single" w:sz="4" w:space="0" w:color="auto"/>
              <w:right w:val="single" w:sz="4" w:space="0" w:color="auto"/>
            </w:tcBorders>
            <w:shd w:val="clear" w:color="auto" w:fill="auto"/>
            <w:noWrap/>
            <w:vAlign w:val="center"/>
            <w:hideMark/>
          </w:tcPr>
          <w:p w14:paraId="05EC99D2"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2</w:t>
            </w:r>
          </w:p>
        </w:tc>
        <w:tc>
          <w:tcPr>
            <w:tcW w:w="700" w:type="dxa"/>
            <w:tcBorders>
              <w:top w:val="nil"/>
              <w:left w:val="nil"/>
              <w:bottom w:val="single" w:sz="4" w:space="0" w:color="auto"/>
              <w:right w:val="single" w:sz="4" w:space="0" w:color="auto"/>
            </w:tcBorders>
            <w:shd w:val="clear" w:color="auto" w:fill="auto"/>
            <w:noWrap/>
            <w:vAlign w:val="center"/>
            <w:hideMark/>
          </w:tcPr>
          <w:p w14:paraId="60D5B513"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w:t>
            </w:r>
          </w:p>
        </w:tc>
        <w:tc>
          <w:tcPr>
            <w:tcW w:w="757" w:type="dxa"/>
            <w:tcBorders>
              <w:top w:val="nil"/>
              <w:left w:val="nil"/>
              <w:bottom w:val="single" w:sz="4" w:space="0" w:color="auto"/>
              <w:right w:val="single" w:sz="4" w:space="0" w:color="auto"/>
            </w:tcBorders>
            <w:shd w:val="clear" w:color="auto" w:fill="auto"/>
            <w:noWrap/>
            <w:vAlign w:val="center"/>
            <w:hideMark/>
          </w:tcPr>
          <w:p w14:paraId="0190850E"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0</w:t>
            </w:r>
          </w:p>
        </w:tc>
        <w:tc>
          <w:tcPr>
            <w:tcW w:w="643" w:type="dxa"/>
            <w:tcBorders>
              <w:top w:val="nil"/>
              <w:left w:val="nil"/>
              <w:bottom w:val="single" w:sz="4" w:space="0" w:color="auto"/>
              <w:right w:val="single" w:sz="4" w:space="0" w:color="auto"/>
            </w:tcBorders>
            <w:vAlign w:val="center"/>
          </w:tcPr>
          <w:p w14:paraId="204D13D3"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3</w:t>
            </w:r>
          </w:p>
        </w:tc>
      </w:tr>
      <w:tr w:rsidR="0093093E" w:rsidRPr="00A40217" w14:paraId="096B894A" w14:textId="77777777" w:rsidTr="0058758F">
        <w:trPr>
          <w:trHeight w:val="227"/>
        </w:trPr>
        <w:tc>
          <w:tcPr>
            <w:tcW w:w="1162" w:type="dxa"/>
            <w:tcBorders>
              <w:top w:val="nil"/>
              <w:left w:val="single" w:sz="4" w:space="0" w:color="auto"/>
              <w:bottom w:val="single" w:sz="4" w:space="0" w:color="auto"/>
              <w:right w:val="single" w:sz="4" w:space="0" w:color="auto"/>
            </w:tcBorders>
            <w:shd w:val="clear" w:color="auto" w:fill="auto"/>
            <w:noWrap/>
            <w:vAlign w:val="center"/>
            <w:hideMark/>
          </w:tcPr>
          <w:p w14:paraId="7FE258A6" w14:textId="77777777" w:rsidR="0093093E" w:rsidRPr="00A40217" w:rsidRDefault="0093093E" w:rsidP="00F02FAB">
            <w:pPr>
              <w:spacing w:after="0" w:line="240" w:lineRule="auto"/>
              <w:rPr>
                <w:rFonts w:eastAsia="Times New Roman" w:cstheme="minorHAnsi"/>
                <w:b/>
                <w:bCs/>
                <w:sz w:val="20"/>
              </w:rPr>
            </w:pPr>
            <w:r w:rsidRPr="00A40217">
              <w:rPr>
                <w:rFonts w:eastAsia="Times New Roman" w:cstheme="minorHAnsi"/>
                <w:b/>
                <w:bCs/>
                <w:sz w:val="20"/>
              </w:rPr>
              <w:t>Bus</w:t>
            </w:r>
          </w:p>
        </w:tc>
        <w:tc>
          <w:tcPr>
            <w:tcW w:w="1005" w:type="dxa"/>
            <w:tcBorders>
              <w:top w:val="nil"/>
              <w:left w:val="nil"/>
              <w:bottom w:val="single" w:sz="4" w:space="0" w:color="auto"/>
              <w:right w:val="single" w:sz="4" w:space="0" w:color="auto"/>
            </w:tcBorders>
            <w:shd w:val="clear" w:color="auto" w:fill="auto"/>
            <w:noWrap/>
            <w:vAlign w:val="center"/>
            <w:hideMark/>
          </w:tcPr>
          <w:p w14:paraId="296FD13E"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13</w:t>
            </w:r>
          </w:p>
        </w:tc>
        <w:tc>
          <w:tcPr>
            <w:tcW w:w="700" w:type="dxa"/>
            <w:tcBorders>
              <w:top w:val="nil"/>
              <w:left w:val="nil"/>
              <w:bottom w:val="single" w:sz="4" w:space="0" w:color="auto"/>
              <w:right w:val="single" w:sz="4" w:space="0" w:color="auto"/>
            </w:tcBorders>
            <w:shd w:val="clear" w:color="auto" w:fill="auto"/>
            <w:noWrap/>
            <w:vAlign w:val="center"/>
            <w:hideMark/>
          </w:tcPr>
          <w:p w14:paraId="41BAF198"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17</w:t>
            </w:r>
          </w:p>
        </w:tc>
        <w:tc>
          <w:tcPr>
            <w:tcW w:w="527" w:type="dxa"/>
            <w:tcBorders>
              <w:top w:val="nil"/>
              <w:left w:val="nil"/>
              <w:bottom w:val="single" w:sz="4" w:space="0" w:color="auto"/>
              <w:right w:val="single" w:sz="4" w:space="0" w:color="auto"/>
            </w:tcBorders>
            <w:shd w:val="clear" w:color="auto" w:fill="auto"/>
            <w:noWrap/>
            <w:vAlign w:val="center"/>
            <w:hideMark/>
          </w:tcPr>
          <w:p w14:paraId="3BD3254B"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14</w:t>
            </w:r>
          </w:p>
        </w:tc>
        <w:tc>
          <w:tcPr>
            <w:tcW w:w="613" w:type="dxa"/>
            <w:tcBorders>
              <w:top w:val="nil"/>
              <w:left w:val="nil"/>
              <w:bottom w:val="single" w:sz="4" w:space="0" w:color="auto"/>
              <w:right w:val="single" w:sz="4" w:space="0" w:color="auto"/>
            </w:tcBorders>
            <w:shd w:val="clear" w:color="auto" w:fill="auto"/>
            <w:noWrap/>
            <w:vAlign w:val="center"/>
            <w:hideMark/>
          </w:tcPr>
          <w:p w14:paraId="2E4A7641"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7</w:t>
            </w:r>
          </w:p>
        </w:tc>
        <w:tc>
          <w:tcPr>
            <w:tcW w:w="613" w:type="dxa"/>
            <w:tcBorders>
              <w:top w:val="nil"/>
              <w:left w:val="nil"/>
              <w:bottom w:val="single" w:sz="4" w:space="0" w:color="auto"/>
              <w:right w:val="single" w:sz="4" w:space="0" w:color="auto"/>
            </w:tcBorders>
            <w:shd w:val="clear" w:color="auto" w:fill="auto"/>
            <w:noWrap/>
            <w:vAlign w:val="center"/>
            <w:hideMark/>
          </w:tcPr>
          <w:p w14:paraId="79A76471"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78</w:t>
            </w:r>
          </w:p>
        </w:tc>
        <w:tc>
          <w:tcPr>
            <w:tcW w:w="527" w:type="dxa"/>
            <w:tcBorders>
              <w:top w:val="nil"/>
              <w:left w:val="nil"/>
              <w:bottom w:val="single" w:sz="4" w:space="0" w:color="auto"/>
              <w:right w:val="single" w:sz="4" w:space="0" w:color="auto"/>
            </w:tcBorders>
            <w:shd w:val="clear" w:color="auto" w:fill="auto"/>
            <w:noWrap/>
            <w:vAlign w:val="center"/>
            <w:hideMark/>
          </w:tcPr>
          <w:p w14:paraId="25C5322C"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7</w:t>
            </w:r>
          </w:p>
        </w:tc>
        <w:tc>
          <w:tcPr>
            <w:tcW w:w="1045" w:type="dxa"/>
            <w:tcBorders>
              <w:top w:val="nil"/>
              <w:left w:val="nil"/>
              <w:bottom w:val="single" w:sz="4" w:space="0" w:color="auto"/>
              <w:right w:val="single" w:sz="4" w:space="0" w:color="auto"/>
            </w:tcBorders>
            <w:shd w:val="clear" w:color="auto" w:fill="auto"/>
            <w:noWrap/>
            <w:vAlign w:val="center"/>
            <w:hideMark/>
          </w:tcPr>
          <w:p w14:paraId="192283D9"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15</w:t>
            </w:r>
          </w:p>
        </w:tc>
        <w:tc>
          <w:tcPr>
            <w:tcW w:w="700" w:type="dxa"/>
            <w:tcBorders>
              <w:top w:val="nil"/>
              <w:left w:val="nil"/>
              <w:bottom w:val="single" w:sz="4" w:space="0" w:color="auto"/>
              <w:right w:val="single" w:sz="4" w:space="0" w:color="auto"/>
            </w:tcBorders>
            <w:shd w:val="clear" w:color="auto" w:fill="auto"/>
            <w:noWrap/>
            <w:vAlign w:val="center"/>
            <w:hideMark/>
          </w:tcPr>
          <w:p w14:paraId="5C28E8B5"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5</w:t>
            </w:r>
          </w:p>
        </w:tc>
        <w:tc>
          <w:tcPr>
            <w:tcW w:w="700" w:type="dxa"/>
            <w:tcBorders>
              <w:top w:val="nil"/>
              <w:left w:val="nil"/>
              <w:bottom w:val="single" w:sz="4" w:space="0" w:color="auto"/>
              <w:right w:val="single" w:sz="4" w:space="0" w:color="auto"/>
            </w:tcBorders>
            <w:shd w:val="clear" w:color="auto" w:fill="auto"/>
            <w:noWrap/>
            <w:vAlign w:val="center"/>
            <w:hideMark/>
          </w:tcPr>
          <w:p w14:paraId="28744F88"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w:t>
            </w:r>
          </w:p>
        </w:tc>
        <w:tc>
          <w:tcPr>
            <w:tcW w:w="757" w:type="dxa"/>
            <w:tcBorders>
              <w:top w:val="nil"/>
              <w:left w:val="nil"/>
              <w:bottom w:val="single" w:sz="4" w:space="0" w:color="auto"/>
              <w:right w:val="single" w:sz="4" w:space="0" w:color="auto"/>
            </w:tcBorders>
            <w:shd w:val="clear" w:color="auto" w:fill="auto"/>
            <w:noWrap/>
            <w:vAlign w:val="center"/>
            <w:hideMark/>
          </w:tcPr>
          <w:p w14:paraId="111BDDD7"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8</w:t>
            </w:r>
          </w:p>
        </w:tc>
        <w:tc>
          <w:tcPr>
            <w:tcW w:w="643" w:type="dxa"/>
            <w:tcBorders>
              <w:top w:val="nil"/>
              <w:left w:val="nil"/>
              <w:bottom w:val="single" w:sz="4" w:space="0" w:color="auto"/>
              <w:right w:val="single" w:sz="4" w:space="0" w:color="auto"/>
            </w:tcBorders>
            <w:vAlign w:val="center"/>
          </w:tcPr>
          <w:p w14:paraId="751A34E1"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14</w:t>
            </w:r>
          </w:p>
        </w:tc>
      </w:tr>
      <w:tr w:rsidR="0093093E" w:rsidRPr="00A40217" w14:paraId="4AE0E24B" w14:textId="77777777" w:rsidTr="0058758F">
        <w:trPr>
          <w:trHeight w:val="227"/>
        </w:trPr>
        <w:tc>
          <w:tcPr>
            <w:tcW w:w="1162" w:type="dxa"/>
            <w:tcBorders>
              <w:top w:val="nil"/>
              <w:left w:val="single" w:sz="4" w:space="0" w:color="auto"/>
              <w:bottom w:val="single" w:sz="4" w:space="0" w:color="auto"/>
              <w:right w:val="single" w:sz="4" w:space="0" w:color="auto"/>
            </w:tcBorders>
            <w:shd w:val="clear" w:color="auto" w:fill="auto"/>
            <w:noWrap/>
            <w:vAlign w:val="center"/>
            <w:hideMark/>
          </w:tcPr>
          <w:p w14:paraId="7D7E7E92" w14:textId="77777777" w:rsidR="0093093E" w:rsidRPr="00A40217" w:rsidRDefault="0093093E" w:rsidP="00F02FAB">
            <w:pPr>
              <w:spacing w:after="0" w:line="240" w:lineRule="auto"/>
              <w:rPr>
                <w:rFonts w:eastAsia="Times New Roman" w:cstheme="minorHAnsi"/>
                <w:b/>
                <w:bCs/>
                <w:sz w:val="20"/>
              </w:rPr>
            </w:pPr>
            <w:r w:rsidRPr="00A40217">
              <w:rPr>
                <w:rFonts w:eastAsia="Times New Roman" w:cstheme="minorHAnsi"/>
                <w:b/>
                <w:bCs/>
                <w:sz w:val="20"/>
              </w:rPr>
              <w:t>LDV</w:t>
            </w:r>
          </w:p>
        </w:tc>
        <w:tc>
          <w:tcPr>
            <w:tcW w:w="1005" w:type="dxa"/>
            <w:tcBorders>
              <w:top w:val="nil"/>
              <w:left w:val="nil"/>
              <w:bottom w:val="single" w:sz="4" w:space="0" w:color="auto"/>
              <w:right w:val="single" w:sz="4" w:space="0" w:color="auto"/>
            </w:tcBorders>
            <w:shd w:val="clear" w:color="auto" w:fill="auto"/>
            <w:noWrap/>
            <w:vAlign w:val="center"/>
            <w:hideMark/>
          </w:tcPr>
          <w:p w14:paraId="78CAAB0F"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14</w:t>
            </w:r>
          </w:p>
        </w:tc>
        <w:tc>
          <w:tcPr>
            <w:tcW w:w="700" w:type="dxa"/>
            <w:tcBorders>
              <w:top w:val="nil"/>
              <w:left w:val="nil"/>
              <w:bottom w:val="single" w:sz="4" w:space="0" w:color="auto"/>
              <w:right w:val="single" w:sz="4" w:space="0" w:color="auto"/>
            </w:tcBorders>
            <w:shd w:val="clear" w:color="auto" w:fill="auto"/>
            <w:noWrap/>
            <w:vAlign w:val="center"/>
            <w:hideMark/>
          </w:tcPr>
          <w:p w14:paraId="121160C1"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17</w:t>
            </w:r>
          </w:p>
        </w:tc>
        <w:tc>
          <w:tcPr>
            <w:tcW w:w="527" w:type="dxa"/>
            <w:tcBorders>
              <w:top w:val="nil"/>
              <w:left w:val="nil"/>
              <w:bottom w:val="single" w:sz="4" w:space="0" w:color="auto"/>
              <w:right w:val="single" w:sz="4" w:space="0" w:color="auto"/>
            </w:tcBorders>
            <w:shd w:val="clear" w:color="auto" w:fill="auto"/>
            <w:noWrap/>
            <w:vAlign w:val="center"/>
            <w:hideMark/>
          </w:tcPr>
          <w:p w14:paraId="3FB97ACB"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13</w:t>
            </w:r>
          </w:p>
        </w:tc>
        <w:tc>
          <w:tcPr>
            <w:tcW w:w="613" w:type="dxa"/>
            <w:tcBorders>
              <w:top w:val="nil"/>
              <w:left w:val="nil"/>
              <w:bottom w:val="single" w:sz="4" w:space="0" w:color="auto"/>
              <w:right w:val="single" w:sz="4" w:space="0" w:color="auto"/>
            </w:tcBorders>
            <w:shd w:val="clear" w:color="auto" w:fill="auto"/>
            <w:noWrap/>
            <w:vAlign w:val="center"/>
            <w:hideMark/>
          </w:tcPr>
          <w:p w14:paraId="49A89DCE"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13</w:t>
            </w:r>
          </w:p>
        </w:tc>
        <w:tc>
          <w:tcPr>
            <w:tcW w:w="613" w:type="dxa"/>
            <w:tcBorders>
              <w:top w:val="nil"/>
              <w:left w:val="nil"/>
              <w:bottom w:val="single" w:sz="4" w:space="0" w:color="auto"/>
              <w:right w:val="single" w:sz="4" w:space="0" w:color="auto"/>
            </w:tcBorders>
            <w:shd w:val="clear" w:color="auto" w:fill="auto"/>
            <w:noWrap/>
            <w:vAlign w:val="center"/>
            <w:hideMark/>
          </w:tcPr>
          <w:p w14:paraId="64BABC6E"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w:t>
            </w:r>
          </w:p>
        </w:tc>
        <w:tc>
          <w:tcPr>
            <w:tcW w:w="527" w:type="dxa"/>
            <w:tcBorders>
              <w:top w:val="nil"/>
              <w:left w:val="nil"/>
              <w:bottom w:val="single" w:sz="4" w:space="0" w:color="auto"/>
              <w:right w:val="single" w:sz="4" w:space="0" w:color="auto"/>
            </w:tcBorders>
            <w:shd w:val="clear" w:color="auto" w:fill="auto"/>
            <w:noWrap/>
            <w:vAlign w:val="center"/>
            <w:hideMark/>
          </w:tcPr>
          <w:p w14:paraId="6ADBA492"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12</w:t>
            </w:r>
          </w:p>
        </w:tc>
        <w:tc>
          <w:tcPr>
            <w:tcW w:w="1045" w:type="dxa"/>
            <w:tcBorders>
              <w:top w:val="nil"/>
              <w:left w:val="nil"/>
              <w:bottom w:val="single" w:sz="4" w:space="0" w:color="auto"/>
              <w:right w:val="single" w:sz="4" w:space="0" w:color="auto"/>
            </w:tcBorders>
            <w:shd w:val="clear" w:color="auto" w:fill="auto"/>
            <w:noWrap/>
            <w:vAlign w:val="center"/>
            <w:hideMark/>
          </w:tcPr>
          <w:p w14:paraId="0745625D"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9</w:t>
            </w:r>
          </w:p>
        </w:tc>
        <w:tc>
          <w:tcPr>
            <w:tcW w:w="700" w:type="dxa"/>
            <w:tcBorders>
              <w:top w:val="nil"/>
              <w:left w:val="nil"/>
              <w:bottom w:val="single" w:sz="4" w:space="0" w:color="auto"/>
              <w:right w:val="single" w:sz="4" w:space="0" w:color="auto"/>
            </w:tcBorders>
            <w:shd w:val="clear" w:color="auto" w:fill="auto"/>
            <w:noWrap/>
            <w:vAlign w:val="center"/>
            <w:hideMark/>
          </w:tcPr>
          <w:p w14:paraId="0BDB3DDD"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10</w:t>
            </w:r>
          </w:p>
        </w:tc>
        <w:tc>
          <w:tcPr>
            <w:tcW w:w="700" w:type="dxa"/>
            <w:tcBorders>
              <w:top w:val="nil"/>
              <w:left w:val="nil"/>
              <w:bottom w:val="single" w:sz="4" w:space="0" w:color="auto"/>
              <w:right w:val="single" w:sz="4" w:space="0" w:color="auto"/>
            </w:tcBorders>
            <w:shd w:val="clear" w:color="auto" w:fill="auto"/>
            <w:noWrap/>
            <w:vAlign w:val="center"/>
            <w:hideMark/>
          </w:tcPr>
          <w:p w14:paraId="74E103F9"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14</w:t>
            </w:r>
          </w:p>
        </w:tc>
        <w:tc>
          <w:tcPr>
            <w:tcW w:w="757" w:type="dxa"/>
            <w:tcBorders>
              <w:top w:val="nil"/>
              <w:left w:val="nil"/>
              <w:bottom w:val="single" w:sz="4" w:space="0" w:color="auto"/>
              <w:right w:val="single" w:sz="4" w:space="0" w:color="auto"/>
            </w:tcBorders>
            <w:shd w:val="clear" w:color="auto" w:fill="auto"/>
            <w:noWrap/>
            <w:vAlign w:val="center"/>
            <w:hideMark/>
          </w:tcPr>
          <w:p w14:paraId="77626C9A"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40</w:t>
            </w:r>
          </w:p>
        </w:tc>
        <w:tc>
          <w:tcPr>
            <w:tcW w:w="643" w:type="dxa"/>
            <w:tcBorders>
              <w:top w:val="nil"/>
              <w:left w:val="nil"/>
              <w:bottom w:val="single" w:sz="4" w:space="0" w:color="auto"/>
              <w:right w:val="single" w:sz="4" w:space="0" w:color="auto"/>
            </w:tcBorders>
            <w:vAlign w:val="center"/>
          </w:tcPr>
          <w:p w14:paraId="15ED479C"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13</w:t>
            </w:r>
          </w:p>
        </w:tc>
      </w:tr>
      <w:tr w:rsidR="0093093E" w:rsidRPr="00A40217" w14:paraId="19923B0E" w14:textId="77777777" w:rsidTr="0058758F">
        <w:trPr>
          <w:trHeight w:val="227"/>
        </w:trPr>
        <w:tc>
          <w:tcPr>
            <w:tcW w:w="1162" w:type="dxa"/>
            <w:tcBorders>
              <w:top w:val="nil"/>
              <w:left w:val="single" w:sz="4" w:space="0" w:color="auto"/>
              <w:bottom w:val="single" w:sz="4" w:space="0" w:color="auto"/>
              <w:right w:val="single" w:sz="4" w:space="0" w:color="auto"/>
            </w:tcBorders>
            <w:shd w:val="clear" w:color="auto" w:fill="auto"/>
            <w:noWrap/>
            <w:vAlign w:val="center"/>
            <w:hideMark/>
          </w:tcPr>
          <w:p w14:paraId="3056410C" w14:textId="77777777" w:rsidR="0093093E" w:rsidRPr="00A40217" w:rsidRDefault="0093093E" w:rsidP="00F02FAB">
            <w:pPr>
              <w:spacing w:after="0" w:line="240" w:lineRule="auto"/>
              <w:rPr>
                <w:rFonts w:eastAsia="Times New Roman" w:cstheme="minorHAnsi"/>
                <w:b/>
                <w:bCs/>
                <w:sz w:val="20"/>
              </w:rPr>
            </w:pPr>
            <w:r w:rsidRPr="00A40217">
              <w:rPr>
                <w:rFonts w:eastAsia="Times New Roman" w:cstheme="minorHAnsi"/>
                <w:b/>
                <w:bCs/>
                <w:sz w:val="20"/>
              </w:rPr>
              <w:t>HDV</w:t>
            </w:r>
          </w:p>
        </w:tc>
        <w:tc>
          <w:tcPr>
            <w:tcW w:w="1005" w:type="dxa"/>
            <w:tcBorders>
              <w:top w:val="nil"/>
              <w:left w:val="nil"/>
              <w:bottom w:val="single" w:sz="4" w:space="0" w:color="auto"/>
              <w:right w:val="single" w:sz="4" w:space="0" w:color="auto"/>
            </w:tcBorders>
            <w:shd w:val="clear" w:color="auto" w:fill="auto"/>
            <w:noWrap/>
            <w:vAlign w:val="center"/>
            <w:hideMark/>
          </w:tcPr>
          <w:p w14:paraId="780A2F1D"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21</w:t>
            </w:r>
          </w:p>
        </w:tc>
        <w:tc>
          <w:tcPr>
            <w:tcW w:w="700" w:type="dxa"/>
            <w:tcBorders>
              <w:top w:val="nil"/>
              <w:left w:val="nil"/>
              <w:bottom w:val="single" w:sz="4" w:space="0" w:color="auto"/>
              <w:right w:val="single" w:sz="4" w:space="0" w:color="auto"/>
            </w:tcBorders>
            <w:shd w:val="clear" w:color="auto" w:fill="auto"/>
            <w:noWrap/>
            <w:vAlign w:val="center"/>
            <w:hideMark/>
          </w:tcPr>
          <w:p w14:paraId="39BE6FDC"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29</w:t>
            </w:r>
          </w:p>
        </w:tc>
        <w:tc>
          <w:tcPr>
            <w:tcW w:w="527" w:type="dxa"/>
            <w:tcBorders>
              <w:top w:val="nil"/>
              <w:left w:val="nil"/>
              <w:bottom w:val="single" w:sz="4" w:space="0" w:color="auto"/>
              <w:right w:val="single" w:sz="4" w:space="0" w:color="auto"/>
            </w:tcBorders>
            <w:shd w:val="clear" w:color="auto" w:fill="auto"/>
            <w:noWrap/>
            <w:vAlign w:val="center"/>
            <w:hideMark/>
          </w:tcPr>
          <w:p w14:paraId="59D61C5E"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30</w:t>
            </w:r>
          </w:p>
        </w:tc>
        <w:tc>
          <w:tcPr>
            <w:tcW w:w="613" w:type="dxa"/>
            <w:tcBorders>
              <w:top w:val="nil"/>
              <w:left w:val="nil"/>
              <w:bottom w:val="single" w:sz="4" w:space="0" w:color="auto"/>
              <w:right w:val="single" w:sz="4" w:space="0" w:color="auto"/>
            </w:tcBorders>
            <w:shd w:val="clear" w:color="auto" w:fill="auto"/>
            <w:noWrap/>
            <w:vAlign w:val="center"/>
            <w:hideMark/>
          </w:tcPr>
          <w:p w14:paraId="060B2D00"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24</w:t>
            </w:r>
          </w:p>
        </w:tc>
        <w:tc>
          <w:tcPr>
            <w:tcW w:w="613" w:type="dxa"/>
            <w:tcBorders>
              <w:top w:val="nil"/>
              <w:left w:val="nil"/>
              <w:bottom w:val="single" w:sz="4" w:space="0" w:color="auto"/>
              <w:right w:val="single" w:sz="4" w:space="0" w:color="auto"/>
            </w:tcBorders>
            <w:shd w:val="clear" w:color="auto" w:fill="auto"/>
            <w:noWrap/>
            <w:vAlign w:val="center"/>
            <w:hideMark/>
          </w:tcPr>
          <w:p w14:paraId="75CA0D39"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3</w:t>
            </w:r>
          </w:p>
        </w:tc>
        <w:tc>
          <w:tcPr>
            <w:tcW w:w="527" w:type="dxa"/>
            <w:tcBorders>
              <w:top w:val="nil"/>
              <w:left w:val="nil"/>
              <w:bottom w:val="single" w:sz="4" w:space="0" w:color="auto"/>
              <w:right w:val="single" w:sz="4" w:space="0" w:color="auto"/>
            </w:tcBorders>
            <w:shd w:val="clear" w:color="auto" w:fill="auto"/>
            <w:noWrap/>
            <w:vAlign w:val="center"/>
            <w:hideMark/>
          </w:tcPr>
          <w:p w14:paraId="636A34B2"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21</w:t>
            </w:r>
          </w:p>
        </w:tc>
        <w:tc>
          <w:tcPr>
            <w:tcW w:w="1045" w:type="dxa"/>
            <w:tcBorders>
              <w:top w:val="nil"/>
              <w:left w:val="nil"/>
              <w:bottom w:val="single" w:sz="4" w:space="0" w:color="auto"/>
              <w:right w:val="single" w:sz="4" w:space="0" w:color="auto"/>
            </w:tcBorders>
            <w:shd w:val="clear" w:color="auto" w:fill="auto"/>
            <w:noWrap/>
            <w:vAlign w:val="center"/>
            <w:hideMark/>
          </w:tcPr>
          <w:p w14:paraId="7C748D91"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22</w:t>
            </w:r>
          </w:p>
        </w:tc>
        <w:tc>
          <w:tcPr>
            <w:tcW w:w="700" w:type="dxa"/>
            <w:tcBorders>
              <w:top w:val="nil"/>
              <w:left w:val="nil"/>
              <w:bottom w:val="single" w:sz="4" w:space="0" w:color="auto"/>
              <w:right w:val="single" w:sz="4" w:space="0" w:color="auto"/>
            </w:tcBorders>
            <w:shd w:val="clear" w:color="auto" w:fill="auto"/>
            <w:noWrap/>
            <w:vAlign w:val="center"/>
            <w:hideMark/>
          </w:tcPr>
          <w:p w14:paraId="1E67EC03"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27</w:t>
            </w:r>
          </w:p>
        </w:tc>
        <w:tc>
          <w:tcPr>
            <w:tcW w:w="700" w:type="dxa"/>
            <w:tcBorders>
              <w:top w:val="nil"/>
              <w:left w:val="nil"/>
              <w:bottom w:val="single" w:sz="4" w:space="0" w:color="auto"/>
              <w:right w:val="single" w:sz="4" w:space="0" w:color="auto"/>
            </w:tcBorders>
            <w:shd w:val="clear" w:color="auto" w:fill="auto"/>
            <w:noWrap/>
            <w:vAlign w:val="center"/>
            <w:hideMark/>
          </w:tcPr>
          <w:p w14:paraId="13D5FE24"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27</w:t>
            </w:r>
          </w:p>
        </w:tc>
        <w:tc>
          <w:tcPr>
            <w:tcW w:w="757" w:type="dxa"/>
            <w:tcBorders>
              <w:top w:val="nil"/>
              <w:left w:val="nil"/>
              <w:bottom w:val="single" w:sz="4" w:space="0" w:color="auto"/>
              <w:right w:val="single" w:sz="4" w:space="0" w:color="auto"/>
            </w:tcBorders>
            <w:shd w:val="clear" w:color="auto" w:fill="auto"/>
            <w:noWrap/>
            <w:vAlign w:val="center"/>
            <w:hideMark/>
          </w:tcPr>
          <w:p w14:paraId="138376C2"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26</w:t>
            </w:r>
          </w:p>
        </w:tc>
        <w:tc>
          <w:tcPr>
            <w:tcW w:w="643" w:type="dxa"/>
            <w:tcBorders>
              <w:top w:val="nil"/>
              <w:left w:val="nil"/>
              <w:bottom w:val="single" w:sz="4" w:space="0" w:color="auto"/>
              <w:right w:val="single" w:sz="4" w:space="0" w:color="auto"/>
            </w:tcBorders>
            <w:vAlign w:val="center"/>
          </w:tcPr>
          <w:p w14:paraId="356FB57D"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25</w:t>
            </w:r>
          </w:p>
        </w:tc>
      </w:tr>
      <w:tr w:rsidR="0093093E" w:rsidRPr="00A40217" w14:paraId="3331FB90" w14:textId="77777777" w:rsidTr="0058758F">
        <w:trPr>
          <w:trHeight w:val="227"/>
        </w:trPr>
        <w:tc>
          <w:tcPr>
            <w:tcW w:w="11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F035DF" w14:textId="77777777" w:rsidR="0093093E" w:rsidRPr="00A40217" w:rsidRDefault="0093093E" w:rsidP="00F02FAB">
            <w:pPr>
              <w:spacing w:after="0" w:line="240" w:lineRule="auto"/>
              <w:rPr>
                <w:rFonts w:eastAsia="Times New Roman" w:cstheme="minorHAnsi"/>
                <w:b/>
                <w:bCs/>
                <w:sz w:val="20"/>
              </w:rPr>
            </w:pPr>
            <w:r w:rsidRPr="00A40217">
              <w:rPr>
                <w:rFonts w:eastAsia="Times New Roman" w:cstheme="minorHAnsi"/>
                <w:b/>
                <w:bCs/>
                <w:sz w:val="20"/>
              </w:rPr>
              <w:t>Total (%)</w:t>
            </w:r>
          </w:p>
        </w:tc>
        <w:tc>
          <w:tcPr>
            <w:tcW w:w="1005" w:type="dxa"/>
            <w:tcBorders>
              <w:top w:val="single" w:sz="4" w:space="0" w:color="auto"/>
              <w:left w:val="nil"/>
              <w:bottom w:val="single" w:sz="4" w:space="0" w:color="auto"/>
              <w:right w:val="single" w:sz="4" w:space="0" w:color="auto"/>
            </w:tcBorders>
            <w:shd w:val="clear" w:color="auto" w:fill="auto"/>
            <w:noWrap/>
            <w:vAlign w:val="center"/>
            <w:hideMark/>
          </w:tcPr>
          <w:p w14:paraId="2F4F5ED0"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100</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14:paraId="12F53140"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100</w:t>
            </w:r>
          </w:p>
        </w:tc>
        <w:tc>
          <w:tcPr>
            <w:tcW w:w="527" w:type="dxa"/>
            <w:tcBorders>
              <w:top w:val="single" w:sz="4" w:space="0" w:color="auto"/>
              <w:left w:val="nil"/>
              <w:bottom w:val="single" w:sz="4" w:space="0" w:color="auto"/>
              <w:right w:val="single" w:sz="4" w:space="0" w:color="auto"/>
            </w:tcBorders>
            <w:shd w:val="clear" w:color="auto" w:fill="auto"/>
            <w:noWrap/>
            <w:vAlign w:val="center"/>
            <w:hideMark/>
          </w:tcPr>
          <w:p w14:paraId="636F1600"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100</w:t>
            </w:r>
          </w:p>
        </w:tc>
        <w:tc>
          <w:tcPr>
            <w:tcW w:w="613" w:type="dxa"/>
            <w:tcBorders>
              <w:top w:val="single" w:sz="4" w:space="0" w:color="auto"/>
              <w:left w:val="nil"/>
              <w:bottom w:val="single" w:sz="4" w:space="0" w:color="auto"/>
              <w:right w:val="single" w:sz="4" w:space="0" w:color="auto"/>
            </w:tcBorders>
            <w:shd w:val="clear" w:color="auto" w:fill="auto"/>
            <w:noWrap/>
            <w:vAlign w:val="center"/>
            <w:hideMark/>
          </w:tcPr>
          <w:p w14:paraId="37ABEF38"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100</w:t>
            </w:r>
          </w:p>
        </w:tc>
        <w:tc>
          <w:tcPr>
            <w:tcW w:w="613" w:type="dxa"/>
            <w:tcBorders>
              <w:top w:val="single" w:sz="4" w:space="0" w:color="auto"/>
              <w:left w:val="nil"/>
              <w:bottom w:val="single" w:sz="4" w:space="0" w:color="auto"/>
              <w:right w:val="single" w:sz="4" w:space="0" w:color="auto"/>
            </w:tcBorders>
            <w:shd w:val="clear" w:color="auto" w:fill="auto"/>
            <w:noWrap/>
            <w:vAlign w:val="center"/>
            <w:hideMark/>
          </w:tcPr>
          <w:p w14:paraId="5A04FC6D"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100</w:t>
            </w:r>
          </w:p>
        </w:tc>
        <w:tc>
          <w:tcPr>
            <w:tcW w:w="527" w:type="dxa"/>
            <w:tcBorders>
              <w:top w:val="single" w:sz="4" w:space="0" w:color="auto"/>
              <w:left w:val="nil"/>
              <w:bottom w:val="single" w:sz="4" w:space="0" w:color="auto"/>
              <w:right w:val="single" w:sz="4" w:space="0" w:color="auto"/>
            </w:tcBorders>
            <w:shd w:val="clear" w:color="auto" w:fill="auto"/>
            <w:noWrap/>
            <w:vAlign w:val="center"/>
            <w:hideMark/>
          </w:tcPr>
          <w:p w14:paraId="0C54CD93"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100</w:t>
            </w:r>
          </w:p>
        </w:tc>
        <w:tc>
          <w:tcPr>
            <w:tcW w:w="1045" w:type="dxa"/>
            <w:tcBorders>
              <w:top w:val="single" w:sz="4" w:space="0" w:color="auto"/>
              <w:left w:val="nil"/>
              <w:bottom w:val="single" w:sz="4" w:space="0" w:color="auto"/>
              <w:right w:val="single" w:sz="4" w:space="0" w:color="auto"/>
            </w:tcBorders>
            <w:shd w:val="clear" w:color="auto" w:fill="auto"/>
            <w:noWrap/>
            <w:vAlign w:val="center"/>
            <w:hideMark/>
          </w:tcPr>
          <w:p w14:paraId="2C5F2A10"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100</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14:paraId="59DD815A"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100</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14:paraId="21B835DC"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100</w:t>
            </w:r>
          </w:p>
        </w:tc>
        <w:tc>
          <w:tcPr>
            <w:tcW w:w="757" w:type="dxa"/>
            <w:tcBorders>
              <w:top w:val="single" w:sz="4" w:space="0" w:color="auto"/>
              <w:left w:val="nil"/>
              <w:bottom w:val="single" w:sz="4" w:space="0" w:color="auto"/>
              <w:right w:val="single" w:sz="4" w:space="0" w:color="auto"/>
            </w:tcBorders>
            <w:shd w:val="clear" w:color="auto" w:fill="auto"/>
            <w:noWrap/>
            <w:vAlign w:val="center"/>
            <w:hideMark/>
          </w:tcPr>
          <w:p w14:paraId="32F6FC6F"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100</w:t>
            </w:r>
          </w:p>
        </w:tc>
        <w:tc>
          <w:tcPr>
            <w:tcW w:w="643" w:type="dxa"/>
            <w:tcBorders>
              <w:top w:val="single" w:sz="4" w:space="0" w:color="auto"/>
              <w:left w:val="nil"/>
              <w:bottom w:val="single" w:sz="4" w:space="0" w:color="auto"/>
              <w:right w:val="single" w:sz="4" w:space="0" w:color="auto"/>
            </w:tcBorders>
            <w:vAlign w:val="center"/>
          </w:tcPr>
          <w:p w14:paraId="483EFB0D" w14:textId="77777777" w:rsidR="0093093E" w:rsidRPr="00A40217" w:rsidRDefault="0093093E" w:rsidP="00F02FAB">
            <w:pPr>
              <w:spacing w:after="0" w:line="240" w:lineRule="auto"/>
              <w:jc w:val="right"/>
              <w:rPr>
                <w:rFonts w:eastAsia="Times New Roman" w:cstheme="minorHAnsi"/>
                <w:sz w:val="20"/>
                <w:szCs w:val="20"/>
              </w:rPr>
            </w:pPr>
            <w:r w:rsidRPr="00A40217">
              <w:rPr>
                <w:rFonts w:eastAsia="Times New Roman" w:cstheme="minorHAnsi"/>
                <w:sz w:val="20"/>
                <w:szCs w:val="20"/>
              </w:rPr>
              <w:t>100</w:t>
            </w:r>
          </w:p>
        </w:tc>
      </w:tr>
      <w:tr w:rsidR="0093093E" w:rsidRPr="00A40217" w14:paraId="1D4333B9" w14:textId="77777777" w:rsidTr="0058758F">
        <w:trPr>
          <w:trHeight w:val="227"/>
        </w:trPr>
        <w:tc>
          <w:tcPr>
            <w:tcW w:w="116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F8C94FD" w14:textId="77777777" w:rsidR="0093093E" w:rsidRPr="00A40217" w:rsidRDefault="0093093E" w:rsidP="00F02FAB">
            <w:pPr>
              <w:spacing w:after="0" w:line="240" w:lineRule="auto"/>
              <w:rPr>
                <w:rFonts w:eastAsia="Times New Roman" w:cstheme="minorHAnsi"/>
                <w:b/>
                <w:bCs/>
                <w:sz w:val="18"/>
              </w:rPr>
            </w:pPr>
            <w:r w:rsidRPr="00A40217">
              <w:rPr>
                <w:rFonts w:eastAsia="Times New Roman" w:cstheme="minorHAnsi"/>
                <w:b/>
                <w:bCs/>
                <w:sz w:val="18"/>
              </w:rPr>
              <w:lastRenderedPageBreak/>
              <w:t>Total (n)</w:t>
            </w:r>
          </w:p>
        </w:tc>
        <w:tc>
          <w:tcPr>
            <w:tcW w:w="1005"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6F3C60EF" w14:textId="77777777" w:rsidR="0093093E" w:rsidRPr="00A40217" w:rsidRDefault="0093093E" w:rsidP="00F02FAB">
            <w:pPr>
              <w:spacing w:after="0" w:line="240" w:lineRule="auto"/>
              <w:jc w:val="right"/>
              <w:rPr>
                <w:rFonts w:eastAsia="Times New Roman" w:cstheme="minorHAnsi"/>
                <w:sz w:val="18"/>
                <w:szCs w:val="20"/>
              </w:rPr>
            </w:pPr>
            <w:r w:rsidRPr="00A40217">
              <w:rPr>
                <w:rFonts w:eastAsia="Times New Roman" w:cstheme="minorHAnsi"/>
                <w:sz w:val="18"/>
                <w:szCs w:val="20"/>
              </w:rPr>
              <w:t>906</w:t>
            </w:r>
          </w:p>
        </w:tc>
        <w:tc>
          <w:tcPr>
            <w:tcW w:w="700"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7A5FA569" w14:textId="77777777" w:rsidR="0093093E" w:rsidRPr="00A40217" w:rsidRDefault="0093093E" w:rsidP="00F02FAB">
            <w:pPr>
              <w:spacing w:after="0" w:line="240" w:lineRule="auto"/>
              <w:jc w:val="right"/>
              <w:rPr>
                <w:rFonts w:eastAsia="Times New Roman" w:cstheme="minorHAnsi"/>
                <w:sz w:val="18"/>
                <w:szCs w:val="20"/>
              </w:rPr>
            </w:pPr>
            <w:r w:rsidRPr="00A40217">
              <w:rPr>
                <w:rFonts w:eastAsia="Times New Roman" w:cstheme="minorHAnsi"/>
                <w:sz w:val="18"/>
                <w:szCs w:val="20"/>
              </w:rPr>
              <w:t>118</w:t>
            </w:r>
          </w:p>
        </w:tc>
        <w:tc>
          <w:tcPr>
            <w:tcW w:w="527"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42599F43" w14:textId="77777777" w:rsidR="0093093E" w:rsidRPr="00A40217" w:rsidRDefault="0093093E" w:rsidP="00F02FAB">
            <w:pPr>
              <w:spacing w:after="0" w:line="240" w:lineRule="auto"/>
              <w:jc w:val="right"/>
              <w:rPr>
                <w:rFonts w:eastAsia="Times New Roman" w:cstheme="minorHAnsi"/>
                <w:sz w:val="18"/>
                <w:szCs w:val="20"/>
              </w:rPr>
            </w:pPr>
            <w:r w:rsidRPr="00A40217">
              <w:rPr>
                <w:rFonts w:eastAsia="Times New Roman" w:cstheme="minorHAnsi"/>
                <w:sz w:val="18"/>
                <w:szCs w:val="20"/>
              </w:rPr>
              <w:t>688</w:t>
            </w:r>
          </w:p>
        </w:tc>
        <w:tc>
          <w:tcPr>
            <w:tcW w:w="613"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033F9965" w14:textId="77777777" w:rsidR="0093093E" w:rsidRPr="00A40217" w:rsidRDefault="0093093E" w:rsidP="00F02FAB">
            <w:pPr>
              <w:spacing w:after="0" w:line="240" w:lineRule="auto"/>
              <w:jc w:val="right"/>
              <w:rPr>
                <w:rFonts w:eastAsia="Times New Roman" w:cstheme="minorHAnsi"/>
                <w:sz w:val="18"/>
                <w:szCs w:val="20"/>
              </w:rPr>
            </w:pPr>
            <w:r w:rsidRPr="00A40217">
              <w:rPr>
                <w:rFonts w:eastAsia="Times New Roman" w:cstheme="minorHAnsi"/>
                <w:sz w:val="18"/>
                <w:szCs w:val="20"/>
              </w:rPr>
              <w:t>110</w:t>
            </w:r>
          </w:p>
        </w:tc>
        <w:tc>
          <w:tcPr>
            <w:tcW w:w="613"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39EC792E" w14:textId="77777777" w:rsidR="0093093E" w:rsidRPr="00A40217" w:rsidRDefault="0093093E" w:rsidP="00F02FAB">
            <w:pPr>
              <w:spacing w:after="0" w:line="240" w:lineRule="auto"/>
              <w:jc w:val="right"/>
              <w:rPr>
                <w:rFonts w:eastAsia="Times New Roman" w:cstheme="minorHAnsi"/>
                <w:sz w:val="18"/>
                <w:szCs w:val="20"/>
              </w:rPr>
            </w:pPr>
            <w:r w:rsidRPr="00A40217">
              <w:rPr>
                <w:rFonts w:eastAsia="Times New Roman" w:cstheme="minorHAnsi"/>
                <w:sz w:val="18"/>
                <w:szCs w:val="20"/>
              </w:rPr>
              <w:t>31</w:t>
            </w:r>
          </w:p>
        </w:tc>
        <w:tc>
          <w:tcPr>
            <w:tcW w:w="527"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3FF1AA1D" w14:textId="77777777" w:rsidR="0093093E" w:rsidRPr="00A40217" w:rsidRDefault="0093093E" w:rsidP="00F02FAB">
            <w:pPr>
              <w:spacing w:after="0" w:line="240" w:lineRule="auto"/>
              <w:jc w:val="right"/>
              <w:rPr>
                <w:rFonts w:eastAsia="Times New Roman" w:cstheme="minorHAnsi"/>
                <w:sz w:val="18"/>
                <w:szCs w:val="20"/>
              </w:rPr>
            </w:pPr>
            <w:r w:rsidRPr="00A40217">
              <w:rPr>
                <w:rFonts w:eastAsia="Times New Roman" w:cstheme="minorHAnsi"/>
                <w:sz w:val="18"/>
                <w:szCs w:val="20"/>
              </w:rPr>
              <w:t>48</w:t>
            </w:r>
          </w:p>
        </w:tc>
        <w:tc>
          <w:tcPr>
            <w:tcW w:w="1045"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3517E132" w14:textId="77777777" w:rsidR="0093093E" w:rsidRPr="00A40217" w:rsidRDefault="0093093E" w:rsidP="00F02FAB">
            <w:pPr>
              <w:spacing w:after="0" w:line="240" w:lineRule="auto"/>
              <w:jc w:val="right"/>
              <w:rPr>
                <w:rFonts w:eastAsia="Times New Roman" w:cstheme="minorHAnsi"/>
                <w:sz w:val="18"/>
                <w:szCs w:val="20"/>
              </w:rPr>
            </w:pPr>
            <w:r w:rsidRPr="00A40217">
              <w:rPr>
                <w:rFonts w:eastAsia="Times New Roman" w:cstheme="minorHAnsi"/>
                <w:sz w:val="18"/>
                <w:szCs w:val="20"/>
              </w:rPr>
              <w:t>28</w:t>
            </w:r>
          </w:p>
        </w:tc>
        <w:tc>
          <w:tcPr>
            <w:tcW w:w="700"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7026F9A7" w14:textId="77777777" w:rsidR="0093093E" w:rsidRPr="00A40217" w:rsidRDefault="0093093E" w:rsidP="00F02FAB">
            <w:pPr>
              <w:spacing w:after="0" w:line="240" w:lineRule="auto"/>
              <w:jc w:val="right"/>
              <w:rPr>
                <w:rFonts w:eastAsia="Times New Roman" w:cstheme="minorHAnsi"/>
                <w:sz w:val="18"/>
                <w:szCs w:val="20"/>
              </w:rPr>
            </w:pPr>
            <w:r w:rsidRPr="00A40217">
              <w:rPr>
                <w:rFonts w:eastAsia="Times New Roman" w:cstheme="minorHAnsi"/>
                <w:sz w:val="18"/>
                <w:szCs w:val="20"/>
              </w:rPr>
              <w:t>21</w:t>
            </w:r>
          </w:p>
        </w:tc>
        <w:tc>
          <w:tcPr>
            <w:tcW w:w="700"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2244683E" w14:textId="77777777" w:rsidR="0093093E" w:rsidRPr="00A40217" w:rsidRDefault="0093093E" w:rsidP="00F02FAB">
            <w:pPr>
              <w:spacing w:after="0" w:line="240" w:lineRule="auto"/>
              <w:jc w:val="right"/>
              <w:rPr>
                <w:rFonts w:eastAsia="Times New Roman" w:cstheme="minorHAnsi"/>
                <w:sz w:val="18"/>
                <w:szCs w:val="20"/>
              </w:rPr>
            </w:pPr>
            <w:r w:rsidRPr="00A40217">
              <w:rPr>
                <w:rFonts w:eastAsia="Times New Roman" w:cstheme="minorHAnsi"/>
                <w:sz w:val="18"/>
                <w:szCs w:val="20"/>
              </w:rPr>
              <w:t>35</w:t>
            </w:r>
          </w:p>
        </w:tc>
        <w:tc>
          <w:tcPr>
            <w:tcW w:w="757"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355FCDA5" w14:textId="77777777" w:rsidR="0093093E" w:rsidRPr="00A40217" w:rsidRDefault="0093093E" w:rsidP="00F02FAB">
            <w:pPr>
              <w:spacing w:after="0" w:line="240" w:lineRule="auto"/>
              <w:jc w:val="right"/>
              <w:rPr>
                <w:rFonts w:eastAsia="Times New Roman" w:cstheme="minorHAnsi"/>
                <w:sz w:val="18"/>
                <w:szCs w:val="20"/>
              </w:rPr>
            </w:pPr>
            <w:r w:rsidRPr="00A40217">
              <w:rPr>
                <w:rFonts w:eastAsia="Times New Roman" w:cstheme="minorHAnsi"/>
                <w:sz w:val="18"/>
                <w:szCs w:val="20"/>
              </w:rPr>
              <w:t>5</w:t>
            </w:r>
          </w:p>
        </w:tc>
        <w:tc>
          <w:tcPr>
            <w:tcW w:w="643"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760F27B" w14:textId="77777777" w:rsidR="0093093E" w:rsidRPr="00A40217" w:rsidRDefault="0093093E" w:rsidP="00F02FAB">
            <w:pPr>
              <w:spacing w:after="0" w:line="240" w:lineRule="auto"/>
              <w:jc w:val="right"/>
              <w:rPr>
                <w:rFonts w:eastAsia="Times New Roman" w:cstheme="minorHAnsi"/>
                <w:sz w:val="18"/>
                <w:szCs w:val="20"/>
              </w:rPr>
            </w:pPr>
            <w:r w:rsidRPr="00A40217">
              <w:rPr>
                <w:rFonts w:eastAsia="Times New Roman" w:cstheme="minorHAnsi"/>
                <w:sz w:val="18"/>
                <w:szCs w:val="20"/>
              </w:rPr>
              <w:t>1990</w:t>
            </w:r>
          </w:p>
        </w:tc>
      </w:tr>
    </w:tbl>
    <w:p w14:paraId="36240E49" w14:textId="77777777" w:rsidR="0093093E" w:rsidRPr="00A40217" w:rsidRDefault="0093093E" w:rsidP="0093093E">
      <w:pPr>
        <w:rPr>
          <w:rFonts w:cstheme="minorHAnsi"/>
          <w:lang w:bidi="hi-IN"/>
        </w:rPr>
      </w:pPr>
    </w:p>
    <w:p w14:paraId="47068CC7" w14:textId="2A73243F" w:rsidR="0058758F" w:rsidRPr="00A40217" w:rsidRDefault="0058758F" w:rsidP="00A31326">
      <w:pPr>
        <w:pStyle w:val="Heading2"/>
        <w:ind w:left="578" w:hanging="578"/>
        <w:rPr>
          <w:rFonts w:asciiTheme="minorHAnsi" w:hAnsiTheme="minorHAnsi" w:cstheme="minorHAnsi"/>
        </w:rPr>
      </w:pPr>
      <w:bookmarkStart w:id="35" w:name="_Ref434055030"/>
      <w:bookmarkStart w:id="36" w:name="_Toc477776542"/>
      <w:bookmarkStart w:id="37" w:name="_Toc85106186"/>
      <w:r w:rsidRPr="00A40217">
        <w:rPr>
          <w:rFonts w:asciiTheme="minorHAnsi" w:hAnsiTheme="minorHAnsi" w:cstheme="minorHAnsi"/>
        </w:rPr>
        <w:t>PM</w:t>
      </w:r>
      <w:r w:rsidRPr="00A40217">
        <w:rPr>
          <w:rFonts w:asciiTheme="minorHAnsi" w:hAnsiTheme="minorHAnsi" w:cstheme="minorHAnsi"/>
          <w:vertAlign w:val="subscript"/>
        </w:rPr>
        <w:t>2.5</w:t>
      </w:r>
      <w:r w:rsidRPr="00A40217">
        <w:rPr>
          <w:rFonts w:asciiTheme="minorHAnsi" w:hAnsiTheme="minorHAnsi" w:cstheme="minorHAnsi"/>
        </w:rPr>
        <w:t xml:space="preserve"> Dispersion Modelling</w:t>
      </w:r>
      <w:bookmarkEnd w:id="35"/>
      <w:bookmarkEnd w:id="36"/>
      <w:bookmarkEnd w:id="37"/>
    </w:p>
    <w:p w14:paraId="71478D9D" w14:textId="52A53AC6" w:rsidR="00A9354F" w:rsidRPr="00A40217" w:rsidRDefault="00A9354F" w:rsidP="00A9354F">
      <w:pPr>
        <w:rPr>
          <w:rFonts w:cstheme="minorHAnsi"/>
          <w:lang w:val="en-GB"/>
        </w:rPr>
      </w:pPr>
      <w:r w:rsidRPr="00A40217">
        <w:rPr>
          <w:rFonts w:cstheme="minorHAnsi"/>
          <w:szCs w:val="24"/>
        </w:rPr>
        <w:t xml:space="preserve">For dispersion modelling, Atmospheric Transport </w:t>
      </w:r>
      <w:r w:rsidRPr="00A40217">
        <w:rPr>
          <w:rFonts w:cstheme="minorHAnsi"/>
        </w:rPr>
        <w:t>Modelling System (</w:t>
      </w:r>
      <w:proofErr w:type="spellStart"/>
      <w:r w:rsidRPr="00A40217">
        <w:rPr>
          <w:rFonts w:cstheme="minorHAnsi"/>
        </w:rPr>
        <w:t>ATMoS</w:t>
      </w:r>
      <w:proofErr w:type="spellEnd"/>
      <w:r w:rsidRPr="00A40217">
        <w:rPr>
          <w:rFonts w:cstheme="minorHAnsi"/>
        </w:rPr>
        <w:t xml:space="preserve">) dispersion model was used, which is a regional (and urban) forward trajectory </w:t>
      </w:r>
      <w:proofErr w:type="spellStart"/>
      <w:r w:rsidRPr="00A40217">
        <w:rPr>
          <w:rFonts w:cstheme="minorHAnsi"/>
        </w:rPr>
        <w:t>Lagrangian</w:t>
      </w:r>
      <w:proofErr w:type="spellEnd"/>
      <w:r w:rsidRPr="00A40217">
        <w:rPr>
          <w:rFonts w:cstheme="minorHAnsi"/>
        </w:rPr>
        <w:t xml:space="preserve"> Puff-transport model (Calori and Carmichael, 1999). </w:t>
      </w:r>
      <w:r w:rsidRPr="00A40217">
        <w:rPr>
          <w:rFonts w:cstheme="minorHAnsi"/>
          <w:lang w:val="en-GB"/>
        </w:rPr>
        <w:t>This version is modified from the US National Oceanic Atmospheric Administration, Branch Atmospheric Trajectory (BAT) model (</w:t>
      </w:r>
      <w:proofErr w:type="spellStart"/>
      <w:r w:rsidRPr="00A40217">
        <w:rPr>
          <w:rFonts w:cstheme="minorHAnsi"/>
          <w:lang w:val="en-GB"/>
        </w:rPr>
        <w:t>Heffter</w:t>
      </w:r>
      <w:proofErr w:type="spellEnd"/>
      <w:r w:rsidRPr="00A40217">
        <w:rPr>
          <w:rFonts w:cstheme="minorHAnsi"/>
          <w:lang w:val="en-GB"/>
        </w:rPr>
        <w:t xml:space="preserve">, 1983). Input meteorological data (3D wind, temperature, and pressure, as well as surface heat flux and precipitation fields) is derived from the National </w:t>
      </w:r>
      <w:proofErr w:type="spellStart"/>
      <w:r w:rsidRPr="00A40217">
        <w:rPr>
          <w:rFonts w:cstheme="minorHAnsi"/>
          <w:lang w:val="en-GB"/>
        </w:rPr>
        <w:t>Center</w:t>
      </w:r>
      <w:proofErr w:type="spellEnd"/>
      <w:r w:rsidRPr="00A40217">
        <w:rPr>
          <w:rFonts w:cstheme="minorHAnsi"/>
          <w:lang w:val="en-GB"/>
        </w:rPr>
        <w:t xml:space="preserve"> for Environmental Prediction (NCEP) global reanalysis (NCEP, 2012) and interpolated to the model grid. The mixing heights are as high as 2500 meters during the summer days and as low as 50 meters during the winter nights. The layers include a surface layer, boundary layer (designated as the mixing layer height) and a top reservoir layer. The multiple layers allow the model to differentiate the contributions of sources varying in their elevation from the ground. The dispersion model was validated by comparing modelled monthly concentrations with those reported by six air quality monitoring stations in Delhi, in a previous study (see</w:t>
      </w:r>
      <w:r w:rsidR="007C02D1" w:rsidRPr="00A40217">
        <w:rPr>
          <w:rFonts w:cstheme="minorHAnsi"/>
          <w:lang w:val="en-GB"/>
        </w:rPr>
        <w:t xml:space="preserve"> Figure 8</w:t>
      </w:r>
      <w:r w:rsidRPr="00A40217">
        <w:rPr>
          <w:rFonts w:cstheme="minorHAnsi"/>
          <w:lang w:val="en-GB"/>
        </w:rPr>
        <w:t>; Guttikunda and Calori, 2013)</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A9354F" w:rsidRPr="00A40217" w14:paraId="4DAF0863" w14:textId="77777777" w:rsidTr="00A36BB9">
        <w:trPr>
          <w:trHeight w:val="1872"/>
          <w:jc w:val="center"/>
        </w:trPr>
        <w:tc>
          <w:tcPr>
            <w:tcW w:w="1666" w:type="pct"/>
            <w:vAlign w:val="center"/>
          </w:tcPr>
          <w:p w14:paraId="6110AFD4" w14:textId="77777777" w:rsidR="00A9354F" w:rsidRPr="00A40217" w:rsidRDefault="00A9354F" w:rsidP="00A36BB9">
            <w:pPr>
              <w:pStyle w:val="BodyText"/>
              <w:rPr>
                <w:rFonts w:asciiTheme="minorHAnsi" w:hAnsiTheme="minorHAnsi" w:cstheme="minorHAnsi"/>
                <w:b w:val="0"/>
                <w:sz w:val="24"/>
                <w:szCs w:val="24"/>
              </w:rPr>
            </w:pPr>
            <w:r w:rsidRPr="00A40217">
              <w:rPr>
                <w:rFonts w:asciiTheme="minorHAnsi" w:hAnsiTheme="minorHAnsi" w:cstheme="minorHAnsi"/>
                <w:b w:val="0"/>
                <w:noProof/>
                <w:sz w:val="24"/>
                <w:szCs w:val="24"/>
                <w:lang w:val="en-GB" w:eastAsia="en-GB"/>
              </w:rPr>
              <w:drawing>
                <wp:inline distT="0" distB="0" distL="0" distR="0" wp14:anchorId="6494CD4E" wp14:editId="3B950FB0">
                  <wp:extent cx="2011680" cy="1206840"/>
                  <wp:effectExtent l="0" t="0" r="7620" b="0"/>
                  <wp:docPr id="86" name="Picture 8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Chart, bar char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1680" cy="1206840"/>
                          </a:xfrm>
                          <a:prstGeom prst="rect">
                            <a:avLst/>
                          </a:prstGeom>
                          <a:noFill/>
                        </pic:spPr>
                      </pic:pic>
                    </a:graphicData>
                  </a:graphic>
                </wp:inline>
              </w:drawing>
            </w:r>
          </w:p>
        </w:tc>
        <w:tc>
          <w:tcPr>
            <w:tcW w:w="1667" w:type="pct"/>
            <w:vAlign w:val="center"/>
          </w:tcPr>
          <w:p w14:paraId="58363227" w14:textId="77777777" w:rsidR="00A9354F" w:rsidRPr="00A40217" w:rsidRDefault="00A9354F" w:rsidP="00A36BB9">
            <w:pPr>
              <w:pStyle w:val="BodyText"/>
              <w:rPr>
                <w:rFonts w:asciiTheme="minorHAnsi" w:hAnsiTheme="minorHAnsi" w:cstheme="minorHAnsi"/>
                <w:b w:val="0"/>
                <w:noProof/>
                <w:sz w:val="24"/>
                <w:szCs w:val="24"/>
                <w:lang w:val="en-IN" w:eastAsia="en-IN"/>
              </w:rPr>
            </w:pPr>
            <w:r w:rsidRPr="00A40217">
              <w:rPr>
                <w:rFonts w:asciiTheme="minorHAnsi" w:hAnsiTheme="minorHAnsi" w:cstheme="minorHAnsi"/>
                <w:b w:val="0"/>
                <w:noProof/>
                <w:sz w:val="24"/>
                <w:szCs w:val="24"/>
                <w:lang w:val="en-GB" w:eastAsia="en-GB"/>
              </w:rPr>
              <w:drawing>
                <wp:inline distT="0" distB="0" distL="0" distR="0" wp14:anchorId="6087B16C" wp14:editId="50AE57F2">
                  <wp:extent cx="2011680" cy="1206840"/>
                  <wp:effectExtent l="0" t="0" r="7620" b="0"/>
                  <wp:docPr id="87" name="Picture 8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Chart, bar char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11680" cy="1206840"/>
                          </a:xfrm>
                          <a:prstGeom prst="rect">
                            <a:avLst/>
                          </a:prstGeom>
                          <a:noFill/>
                        </pic:spPr>
                      </pic:pic>
                    </a:graphicData>
                  </a:graphic>
                </wp:inline>
              </w:drawing>
            </w:r>
          </w:p>
        </w:tc>
        <w:tc>
          <w:tcPr>
            <w:tcW w:w="1667" w:type="pct"/>
            <w:vAlign w:val="center"/>
          </w:tcPr>
          <w:p w14:paraId="322EEFB7" w14:textId="77777777" w:rsidR="00A9354F" w:rsidRPr="00A40217" w:rsidRDefault="00A9354F" w:rsidP="00A36BB9">
            <w:pPr>
              <w:pStyle w:val="BodyText"/>
              <w:rPr>
                <w:rFonts w:asciiTheme="minorHAnsi" w:hAnsiTheme="minorHAnsi" w:cstheme="minorHAnsi"/>
                <w:b w:val="0"/>
                <w:noProof/>
                <w:sz w:val="24"/>
                <w:szCs w:val="24"/>
                <w:lang w:val="en-IN" w:eastAsia="en-IN"/>
              </w:rPr>
            </w:pPr>
            <w:r w:rsidRPr="00A40217">
              <w:rPr>
                <w:rFonts w:asciiTheme="minorHAnsi" w:hAnsiTheme="minorHAnsi" w:cstheme="minorHAnsi"/>
                <w:b w:val="0"/>
                <w:noProof/>
                <w:sz w:val="24"/>
                <w:szCs w:val="24"/>
                <w:lang w:val="en-GB" w:eastAsia="en-GB"/>
              </w:rPr>
              <w:drawing>
                <wp:inline distT="0" distB="0" distL="0" distR="0" wp14:anchorId="4B70C557" wp14:editId="404F800F">
                  <wp:extent cx="2011680" cy="1206840"/>
                  <wp:effectExtent l="0" t="0" r="7620" b="0"/>
                  <wp:docPr id="88" name="Picture 8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Char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11680" cy="1206840"/>
                          </a:xfrm>
                          <a:prstGeom prst="rect">
                            <a:avLst/>
                          </a:prstGeom>
                          <a:noFill/>
                        </pic:spPr>
                      </pic:pic>
                    </a:graphicData>
                  </a:graphic>
                </wp:inline>
              </w:drawing>
            </w:r>
          </w:p>
        </w:tc>
      </w:tr>
      <w:tr w:rsidR="00A9354F" w:rsidRPr="00A40217" w14:paraId="28B9D740" w14:textId="77777777" w:rsidTr="00A36BB9">
        <w:trPr>
          <w:trHeight w:val="1872"/>
          <w:jc w:val="center"/>
        </w:trPr>
        <w:tc>
          <w:tcPr>
            <w:tcW w:w="1666" w:type="pct"/>
            <w:vAlign w:val="center"/>
          </w:tcPr>
          <w:p w14:paraId="4EE18DB0" w14:textId="77777777" w:rsidR="00A9354F" w:rsidRPr="00A40217" w:rsidRDefault="00A9354F" w:rsidP="00A36BB9">
            <w:pPr>
              <w:pStyle w:val="BodyText"/>
              <w:rPr>
                <w:rFonts w:asciiTheme="minorHAnsi" w:hAnsiTheme="minorHAnsi" w:cstheme="minorHAnsi"/>
                <w:b w:val="0"/>
                <w:noProof/>
                <w:sz w:val="24"/>
                <w:szCs w:val="24"/>
                <w:lang w:eastAsia="en-IN"/>
              </w:rPr>
            </w:pPr>
            <w:r w:rsidRPr="00A40217">
              <w:rPr>
                <w:rFonts w:asciiTheme="minorHAnsi" w:hAnsiTheme="minorHAnsi" w:cstheme="minorHAnsi"/>
                <w:b w:val="0"/>
                <w:noProof/>
                <w:sz w:val="24"/>
                <w:szCs w:val="24"/>
                <w:lang w:val="en-GB" w:eastAsia="en-GB"/>
              </w:rPr>
              <w:drawing>
                <wp:inline distT="0" distB="0" distL="0" distR="0" wp14:anchorId="44F0970A" wp14:editId="5CDF416F">
                  <wp:extent cx="2011680" cy="1206840"/>
                  <wp:effectExtent l="0" t="0" r="7620" b="0"/>
                  <wp:docPr id="89" name="Picture 8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Char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11680" cy="1206840"/>
                          </a:xfrm>
                          <a:prstGeom prst="rect">
                            <a:avLst/>
                          </a:prstGeom>
                          <a:noFill/>
                        </pic:spPr>
                      </pic:pic>
                    </a:graphicData>
                  </a:graphic>
                </wp:inline>
              </w:drawing>
            </w:r>
          </w:p>
        </w:tc>
        <w:tc>
          <w:tcPr>
            <w:tcW w:w="1667" w:type="pct"/>
            <w:vAlign w:val="center"/>
          </w:tcPr>
          <w:p w14:paraId="3E057CF8" w14:textId="77777777" w:rsidR="00A9354F" w:rsidRPr="00A40217" w:rsidRDefault="00A9354F" w:rsidP="00A36BB9">
            <w:pPr>
              <w:pStyle w:val="BodyText"/>
              <w:rPr>
                <w:rFonts w:asciiTheme="minorHAnsi" w:hAnsiTheme="minorHAnsi" w:cstheme="minorHAnsi"/>
                <w:b w:val="0"/>
                <w:noProof/>
                <w:sz w:val="24"/>
                <w:szCs w:val="24"/>
                <w:lang w:val="en-IN" w:eastAsia="en-IN"/>
              </w:rPr>
            </w:pPr>
            <w:r w:rsidRPr="00A40217">
              <w:rPr>
                <w:rFonts w:asciiTheme="minorHAnsi" w:hAnsiTheme="minorHAnsi" w:cstheme="minorHAnsi"/>
                <w:b w:val="0"/>
                <w:noProof/>
                <w:sz w:val="24"/>
                <w:szCs w:val="24"/>
                <w:lang w:val="en-GB" w:eastAsia="en-GB"/>
              </w:rPr>
              <w:drawing>
                <wp:inline distT="0" distB="0" distL="0" distR="0" wp14:anchorId="7BDE2141" wp14:editId="13AEA3F7">
                  <wp:extent cx="2011680" cy="1206840"/>
                  <wp:effectExtent l="0" t="0" r="7620" b="0"/>
                  <wp:docPr id="90" name="Picture 9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Char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11680" cy="1206840"/>
                          </a:xfrm>
                          <a:prstGeom prst="rect">
                            <a:avLst/>
                          </a:prstGeom>
                          <a:noFill/>
                        </pic:spPr>
                      </pic:pic>
                    </a:graphicData>
                  </a:graphic>
                </wp:inline>
              </w:drawing>
            </w:r>
          </w:p>
        </w:tc>
        <w:tc>
          <w:tcPr>
            <w:tcW w:w="1667" w:type="pct"/>
            <w:vAlign w:val="center"/>
          </w:tcPr>
          <w:p w14:paraId="7397FC60" w14:textId="77777777" w:rsidR="00A9354F" w:rsidRPr="00A40217" w:rsidRDefault="00A9354F" w:rsidP="00A36BB9">
            <w:pPr>
              <w:pStyle w:val="BodyText"/>
              <w:keepNext/>
              <w:rPr>
                <w:rFonts w:asciiTheme="minorHAnsi" w:hAnsiTheme="minorHAnsi" w:cstheme="minorHAnsi"/>
                <w:b w:val="0"/>
                <w:noProof/>
                <w:sz w:val="24"/>
                <w:szCs w:val="24"/>
                <w:lang w:val="en-IN" w:eastAsia="en-IN"/>
              </w:rPr>
            </w:pPr>
            <w:r w:rsidRPr="00A40217">
              <w:rPr>
                <w:rFonts w:asciiTheme="minorHAnsi" w:hAnsiTheme="minorHAnsi" w:cstheme="minorHAnsi"/>
                <w:b w:val="0"/>
                <w:noProof/>
                <w:sz w:val="24"/>
                <w:szCs w:val="24"/>
                <w:lang w:val="en-GB" w:eastAsia="en-GB"/>
              </w:rPr>
              <w:drawing>
                <wp:inline distT="0" distB="0" distL="0" distR="0" wp14:anchorId="2DD4FD31" wp14:editId="5F021F0F">
                  <wp:extent cx="2011680" cy="1206840"/>
                  <wp:effectExtent l="0" t="0" r="7620" b="0"/>
                  <wp:docPr id="91" name="Picture 9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Chart&#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11680" cy="1206840"/>
                          </a:xfrm>
                          <a:prstGeom prst="rect">
                            <a:avLst/>
                          </a:prstGeom>
                          <a:noFill/>
                        </pic:spPr>
                      </pic:pic>
                    </a:graphicData>
                  </a:graphic>
                </wp:inline>
              </w:drawing>
            </w:r>
          </w:p>
        </w:tc>
      </w:tr>
    </w:tbl>
    <w:p w14:paraId="7C838D22" w14:textId="75E9B557" w:rsidR="00A9354F" w:rsidRPr="00A40217" w:rsidRDefault="00A9354F" w:rsidP="00A9354F">
      <w:pPr>
        <w:pStyle w:val="Caption"/>
        <w:jc w:val="center"/>
        <w:rPr>
          <w:rFonts w:asciiTheme="minorHAnsi" w:hAnsiTheme="minorHAnsi" w:cstheme="minorHAnsi"/>
        </w:rPr>
      </w:pPr>
      <w:bookmarkStart w:id="38" w:name="_Ref476818737"/>
      <w:bookmarkStart w:id="39" w:name="_Toc476818689"/>
      <w:r w:rsidRPr="00A40217">
        <w:rPr>
          <w:rFonts w:asciiTheme="minorHAnsi" w:hAnsiTheme="minorHAnsi" w:cstheme="minorHAnsi"/>
        </w:rPr>
        <w:t xml:space="preserve">Figure </w:t>
      </w:r>
      <w:bookmarkEnd w:id="38"/>
      <w:r w:rsidR="007C02D1" w:rsidRPr="00A40217">
        <w:rPr>
          <w:rFonts w:asciiTheme="minorHAnsi" w:hAnsiTheme="minorHAnsi" w:cstheme="minorHAnsi"/>
        </w:rPr>
        <w:t>8</w:t>
      </w:r>
      <w:r w:rsidRPr="00A40217">
        <w:rPr>
          <w:rFonts w:asciiTheme="minorHAnsi" w:hAnsiTheme="minorHAnsi" w:cstheme="minorHAnsi"/>
        </w:rPr>
        <w:t xml:space="preserve">: </w:t>
      </w:r>
      <w:r w:rsidRPr="00A40217">
        <w:rPr>
          <w:rFonts w:asciiTheme="minorHAnsi" w:hAnsiTheme="minorHAnsi" w:cstheme="minorHAnsi"/>
          <w:szCs w:val="24"/>
        </w:rPr>
        <w:t>Comparison of modelled and measured PM</w:t>
      </w:r>
      <w:r w:rsidRPr="00A40217">
        <w:rPr>
          <w:rFonts w:asciiTheme="minorHAnsi" w:hAnsiTheme="minorHAnsi" w:cstheme="minorHAnsi"/>
          <w:szCs w:val="24"/>
          <w:vertAlign w:val="subscript"/>
        </w:rPr>
        <w:t>2.5</w:t>
      </w:r>
      <w:r w:rsidRPr="00A40217">
        <w:rPr>
          <w:rFonts w:asciiTheme="minorHAnsi" w:hAnsiTheme="minorHAnsi" w:cstheme="minorHAnsi"/>
          <w:szCs w:val="24"/>
        </w:rPr>
        <w:t xml:space="preserve"> and PM</w:t>
      </w:r>
      <w:r w:rsidRPr="00A40217">
        <w:rPr>
          <w:rFonts w:asciiTheme="minorHAnsi" w:hAnsiTheme="minorHAnsi" w:cstheme="minorHAnsi"/>
          <w:szCs w:val="24"/>
          <w:vertAlign w:val="subscript"/>
        </w:rPr>
        <w:t>10</w:t>
      </w:r>
      <w:r w:rsidRPr="00A40217">
        <w:rPr>
          <w:rFonts w:asciiTheme="minorHAnsi" w:hAnsiTheme="minorHAnsi" w:cstheme="minorHAnsi"/>
          <w:szCs w:val="24"/>
        </w:rPr>
        <w:t xml:space="preserve"> concentrations for the base year 2010 in Delhi, India (Guttikunda and Calori, 2013)</w:t>
      </w:r>
      <w:bookmarkEnd w:id="39"/>
    </w:p>
    <w:p w14:paraId="5DCA5E37" w14:textId="77777777" w:rsidR="00A9354F" w:rsidRPr="00A40217" w:rsidRDefault="00A9354F" w:rsidP="00A9354F">
      <w:pPr>
        <w:rPr>
          <w:rFonts w:cstheme="minorHAnsi"/>
        </w:rPr>
      </w:pPr>
      <w:r w:rsidRPr="00A40217">
        <w:rPr>
          <w:rFonts w:cstheme="minorHAnsi"/>
          <w:lang w:val="en-GB"/>
        </w:rPr>
        <w:t xml:space="preserve">For this study four different source-types were used— a) near-ground diffused area-sources (domestic sector, waste burning, construction, diesel gensets); b) vehicle sources (vehicular exhaust and road dust); c) small-point sources (industries, brick kilns); and d) large-point sources such as power plant stacks. </w:t>
      </w:r>
      <w:r w:rsidRPr="00A40217">
        <w:rPr>
          <w:rFonts w:cstheme="minorHAnsi"/>
        </w:rPr>
        <w:t>In addition to primary PM</w:t>
      </w:r>
      <w:r w:rsidRPr="00A40217">
        <w:rPr>
          <w:rFonts w:cstheme="minorHAnsi"/>
          <w:vertAlign w:val="subscript"/>
        </w:rPr>
        <w:t>2.5</w:t>
      </w:r>
      <w:r w:rsidRPr="00A40217">
        <w:rPr>
          <w:rFonts w:cstheme="minorHAnsi"/>
        </w:rPr>
        <w:t>, the model also includes first order chemical reactions for SO</w:t>
      </w:r>
      <w:r w:rsidRPr="00A40217">
        <w:rPr>
          <w:rFonts w:cstheme="minorHAnsi"/>
          <w:vertAlign w:val="subscript"/>
        </w:rPr>
        <w:t>2</w:t>
      </w:r>
      <w:r w:rsidRPr="00A40217">
        <w:rPr>
          <w:rFonts w:cstheme="minorHAnsi"/>
        </w:rPr>
        <w:t xml:space="preserve"> and NO</w:t>
      </w:r>
      <w:r w:rsidRPr="00A40217">
        <w:rPr>
          <w:rFonts w:cstheme="minorHAnsi"/>
          <w:vertAlign w:val="subscript"/>
        </w:rPr>
        <w:t>x</w:t>
      </w:r>
      <w:r w:rsidRPr="00A40217">
        <w:rPr>
          <w:rFonts w:cstheme="minorHAnsi"/>
        </w:rPr>
        <w:t xml:space="preserve"> emissions to estimate the secondary contributions in the form of sulphates and nitrates, added to the total PM</w:t>
      </w:r>
      <w:r w:rsidRPr="00A40217">
        <w:rPr>
          <w:rFonts w:cstheme="minorHAnsi"/>
          <w:vertAlign w:val="subscript"/>
        </w:rPr>
        <w:t>2.5</w:t>
      </w:r>
      <w:r w:rsidRPr="00A40217">
        <w:rPr>
          <w:rFonts w:cstheme="minorHAnsi"/>
        </w:rPr>
        <w:t xml:space="preserve"> concentrations. </w:t>
      </w:r>
    </w:p>
    <w:p w14:paraId="378D5067" w14:textId="19D1BFE5" w:rsidR="00A9354F" w:rsidRPr="00A40217" w:rsidRDefault="00A9354F" w:rsidP="00A9354F">
      <w:pPr>
        <w:rPr>
          <w:rFonts w:cstheme="minorHAnsi"/>
          <w:szCs w:val="24"/>
        </w:rPr>
      </w:pPr>
      <w:r w:rsidRPr="00A40217">
        <w:rPr>
          <w:rFonts w:cstheme="minorHAnsi"/>
        </w:rPr>
        <w:t xml:space="preserve">Using the model, </w:t>
      </w:r>
      <w:r w:rsidRPr="00A40217">
        <w:rPr>
          <w:rFonts w:cstheme="minorHAnsi"/>
          <w:szCs w:val="24"/>
        </w:rPr>
        <w:t xml:space="preserve">source-receptor transfer matrices (SRTM) were generated. </w:t>
      </w:r>
      <w:r w:rsidRPr="00A40217">
        <w:rPr>
          <w:rFonts w:cstheme="minorHAnsi"/>
        </w:rPr>
        <w:t>The SRTMs enable the conversion of emissions to concentrations and represent the change in concentrations in a receptor grid per unit change in annual emissions in the source grid. For a model domain of size 80×80</w:t>
      </w:r>
      <w:r w:rsidRPr="00A40217">
        <w:rPr>
          <w:rFonts w:cstheme="minorHAnsi"/>
          <w:i/>
        </w:rPr>
        <w:t xml:space="preserve"> </w:t>
      </w:r>
      <w:r w:rsidRPr="00A40217">
        <w:rPr>
          <w:rFonts w:cstheme="minorHAnsi"/>
        </w:rPr>
        <w:t xml:space="preserve">grids, SRTM is a square matrix with 6400 rows and as many columns. For each row </w:t>
      </w:r>
      <w:proofErr w:type="spellStart"/>
      <w:r w:rsidRPr="00A40217">
        <w:rPr>
          <w:rFonts w:cstheme="minorHAnsi"/>
          <w:i/>
        </w:rPr>
        <w:t>i</w:t>
      </w:r>
      <w:proofErr w:type="spellEnd"/>
      <w:r w:rsidRPr="00A40217">
        <w:rPr>
          <w:rFonts w:cstheme="minorHAnsi"/>
        </w:rPr>
        <w:t xml:space="preserve">, SRTM gives concentration increase in each of the 6400 grids, for a unit increase in the emissions of grid </w:t>
      </w:r>
      <w:proofErr w:type="spellStart"/>
      <w:r w:rsidRPr="00A40217">
        <w:rPr>
          <w:rFonts w:cstheme="minorHAnsi"/>
          <w:i/>
        </w:rPr>
        <w:t>i</w:t>
      </w:r>
      <w:proofErr w:type="spellEnd"/>
      <w:r w:rsidRPr="00A40217">
        <w:rPr>
          <w:rFonts w:cstheme="minorHAnsi"/>
        </w:rPr>
        <w:t xml:space="preserve">. The product of SRTMs and emission matrices </w:t>
      </w:r>
      <w:r w:rsidRPr="00A40217">
        <w:rPr>
          <w:rFonts w:cstheme="minorHAnsi"/>
          <w:szCs w:val="24"/>
        </w:rPr>
        <w:t>give gridded concentrations (µg/m</w:t>
      </w:r>
      <w:r w:rsidRPr="00A40217">
        <w:rPr>
          <w:rFonts w:cstheme="minorHAnsi"/>
          <w:szCs w:val="24"/>
          <w:vertAlign w:val="superscript"/>
        </w:rPr>
        <w:t>3</w:t>
      </w:r>
      <w:r w:rsidRPr="00A40217">
        <w:rPr>
          <w:rFonts w:cstheme="minorHAnsi"/>
          <w:szCs w:val="24"/>
        </w:rPr>
        <w:t xml:space="preserve">) for the whole domain. For 80 km×80 km domain of Delhi and a grid resolution of 1km×1km, emission matrix is 6400×1 and </w:t>
      </w:r>
      <w:r w:rsidRPr="00A40217">
        <w:rPr>
          <w:rFonts w:cstheme="minorHAnsi"/>
          <w:szCs w:val="24"/>
        </w:rPr>
        <w:lastRenderedPageBreak/>
        <w:t>SRTM is 6400×6400. For 3 pollutants (PM</w:t>
      </w:r>
      <w:r w:rsidRPr="00A40217">
        <w:rPr>
          <w:rFonts w:cstheme="minorHAnsi"/>
          <w:szCs w:val="24"/>
          <w:vertAlign w:val="subscript"/>
        </w:rPr>
        <w:t>2.5</w:t>
      </w:r>
      <w:r w:rsidRPr="00A40217">
        <w:rPr>
          <w:rFonts w:cstheme="minorHAnsi"/>
          <w:szCs w:val="24"/>
        </w:rPr>
        <w:t>, NO</w:t>
      </w:r>
      <w:r w:rsidRPr="00A40217">
        <w:rPr>
          <w:rFonts w:cstheme="minorHAnsi"/>
          <w:szCs w:val="24"/>
          <w:vertAlign w:val="subscript"/>
        </w:rPr>
        <w:t>x</w:t>
      </w:r>
      <w:r w:rsidRPr="00A40217">
        <w:rPr>
          <w:rFonts w:cstheme="minorHAnsi"/>
          <w:szCs w:val="24"/>
        </w:rPr>
        <w:t xml:space="preserve"> and SO</w:t>
      </w:r>
      <w:r w:rsidRPr="00A40217">
        <w:rPr>
          <w:rFonts w:cstheme="minorHAnsi"/>
          <w:szCs w:val="24"/>
          <w:vertAlign w:val="subscript"/>
        </w:rPr>
        <w:t>2</w:t>
      </w:r>
      <w:r w:rsidRPr="00A40217">
        <w:rPr>
          <w:rFonts w:cstheme="minorHAnsi"/>
          <w:szCs w:val="24"/>
        </w:rPr>
        <w:t xml:space="preserve">) classified among 4 source-types, there are 12 emission matrices and 12 corresponding SRTMs, which were multiplied </w:t>
      </w:r>
      <w:proofErr w:type="gramStart"/>
      <w:r w:rsidRPr="00A40217">
        <w:rPr>
          <w:rFonts w:cstheme="minorHAnsi"/>
          <w:szCs w:val="24"/>
        </w:rPr>
        <w:t>pair-wise</w:t>
      </w:r>
      <w:proofErr w:type="gramEnd"/>
      <w:r w:rsidRPr="00A40217">
        <w:rPr>
          <w:rFonts w:cstheme="minorHAnsi"/>
          <w:szCs w:val="24"/>
        </w:rPr>
        <w:t>, and then added to obtain overall modelled concentrations. See equation</w:t>
      </w:r>
      <w:r w:rsidRPr="00A40217">
        <w:rPr>
          <w:rFonts w:cstheme="minorHAnsi"/>
        </w:rPr>
        <w:t xml:space="preserve"> </w:t>
      </w:r>
      <w:r w:rsidRPr="00A40217">
        <w:rPr>
          <w:rFonts w:cstheme="minorHAnsi"/>
        </w:rPr>
        <w:fldChar w:fldCharType="begin"/>
      </w:r>
      <w:r w:rsidRPr="00A40217">
        <w:rPr>
          <w:rFonts w:cstheme="minorHAnsi"/>
        </w:rPr>
        <w:instrText xml:space="preserve"> REF SRTM \h </w:instrText>
      </w:r>
      <w:r w:rsidR="007C02D1" w:rsidRPr="00A40217">
        <w:rPr>
          <w:rFonts w:cstheme="minorHAnsi"/>
        </w:rPr>
        <w:instrText xml:space="preserve"> \* MERGEFORMAT </w:instrText>
      </w:r>
      <w:r w:rsidRPr="00A40217">
        <w:rPr>
          <w:rFonts w:cstheme="minorHAnsi"/>
        </w:rPr>
      </w:r>
      <w:r w:rsidRPr="00A40217">
        <w:rPr>
          <w:rFonts w:cstheme="minorHAnsi"/>
        </w:rPr>
        <w:fldChar w:fldCharType="separate"/>
      </w:r>
      <w:r w:rsidRPr="00A40217">
        <w:rPr>
          <w:rFonts w:cstheme="minorHAnsi"/>
          <w:noProof/>
        </w:rPr>
        <w:t>6</w:t>
      </w:r>
      <w:r w:rsidRPr="00A40217">
        <w:rPr>
          <w:rFonts w:cstheme="minorHAnsi"/>
        </w:rPr>
        <w:fldChar w:fldCharType="end"/>
      </w:r>
      <w:r w:rsidRPr="00A40217">
        <w:rPr>
          <w:rFonts w:cstheme="minorHAnsi"/>
        </w:rPr>
        <w:t xml:space="preserve"> for calculation of modelled concentration of a grid for domain size of 80×80</w:t>
      </w:r>
      <w:r w:rsidRPr="00A40217">
        <w:rPr>
          <w:rFonts w:cstheme="minorHAnsi"/>
          <w:i/>
        </w:rPr>
        <w:t xml:space="preserve"> </w:t>
      </w:r>
      <w:r w:rsidRPr="00A40217">
        <w:rPr>
          <w:rFonts w:cstheme="minorHAnsi"/>
        </w:rPr>
        <w:t>grids, and SRTM and emission matrices classified among 4 layers and 3 pollutant types.</w:t>
      </w: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015"/>
      </w:tblGrid>
      <w:tr w:rsidR="00A9354F" w:rsidRPr="00A40217" w14:paraId="423F32FD" w14:textId="77777777" w:rsidTr="00A36BB9">
        <w:trPr>
          <w:trHeight w:hRule="exact" w:val="963"/>
        </w:trPr>
        <w:tc>
          <w:tcPr>
            <w:tcW w:w="8075" w:type="dxa"/>
          </w:tcPr>
          <w:p w14:paraId="435252E3" w14:textId="77777777" w:rsidR="00A9354F" w:rsidRPr="00A40217" w:rsidRDefault="00030791" w:rsidP="00A36BB9">
            <w:pPr>
              <w:spacing w:after="200"/>
              <w:jc w:val="center"/>
              <w:rPr>
                <w:rFonts w:cstheme="minorHAnsi"/>
              </w:rPr>
            </w:pPr>
            <m:oMathPara>
              <m:oMath>
                <m:sSub>
                  <m:sSubPr>
                    <m:ctrlPr>
                      <w:rPr>
                        <w:rFonts w:ascii="Cambria Math" w:hAnsi="Cambria Math" w:cstheme="minorHAnsi"/>
                        <w:i/>
                      </w:rPr>
                    </m:ctrlPr>
                  </m:sSubPr>
                  <m:e>
                    <m:r>
                      <w:rPr>
                        <w:rFonts w:ascii="Cambria Math" w:hAnsi="Cambria Math" w:cstheme="minorHAnsi"/>
                      </w:rPr>
                      <m:t>CM</m:t>
                    </m:r>
                  </m:e>
                  <m:sub>
                    <m:r>
                      <w:rPr>
                        <w:rFonts w:ascii="Cambria Math" w:hAnsi="Cambria Math" w:cstheme="minorHAnsi"/>
                      </w:rPr>
                      <m:t>ij</m:t>
                    </m:r>
                  </m:sub>
                </m:sSub>
                <m:r>
                  <m:rPr>
                    <m:sty m:val="p"/>
                  </m:rPr>
                  <w:rPr>
                    <w:rFonts w:ascii="Cambria Math" w:hAnsi="Cambria Math" w:cstheme="minorHAnsi"/>
                  </w:rPr>
                  <m:t>=</m:t>
                </m:r>
                <m:nary>
                  <m:naryPr>
                    <m:chr m:val="∑"/>
                    <m:limLoc m:val="undOvr"/>
                    <m:ctrlPr>
                      <w:rPr>
                        <w:rFonts w:ascii="Cambria Math" w:hAnsi="Cambria Math" w:cstheme="minorHAnsi"/>
                      </w:rPr>
                    </m:ctrlPr>
                  </m:naryPr>
                  <m:sub>
                    <m:r>
                      <w:rPr>
                        <w:rFonts w:ascii="Cambria Math" w:hAnsi="Cambria Math" w:cstheme="minorHAnsi"/>
                      </w:rPr>
                      <m:t>p=1</m:t>
                    </m:r>
                  </m:sub>
                  <m:sup>
                    <m:r>
                      <w:rPr>
                        <w:rFonts w:ascii="Cambria Math" w:hAnsi="Cambria Math" w:cstheme="minorHAnsi"/>
                      </w:rPr>
                      <m:t>3</m:t>
                    </m:r>
                  </m:sup>
                  <m:e>
                    <m:nary>
                      <m:naryPr>
                        <m:chr m:val="∑"/>
                        <m:limLoc m:val="undOvr"/>
                        <m:ctrlPr>
                          <w:rPr>
                            <w:rFonts w:ascii="Cambria Math" w:hAnsi="Cambria Math" w:cstheme="minorHAnsi"/>
                          </w:rPr>
                        </m:ctrlPr>
                      </m:naryPr>
                      <m:sub>
                        <m:r>
                          <w:rPr>
                            <w:rFonts w:ascii="Cambria Math" w:hAnsi="Cambria Math" w:cstheme="minorHAnsi"/>
                          </w:rPr>
                          <m:t>k=1</m:t>
                        </m:r>
                      </m:sub>
                      <m:sup>
                        <m:r>
                          <w:rPr>
                            <w:rFonts w:ascii="Cambria Math" w:hAnsi="Cambria Math" w:cstheme="minorHAnsi"/>
                          </w:rPr>
                          <m:t>4</m:t>
                        </m:r>
                      </m:sup>
                      <m:e>
                        <m:nary>
                          <m:naryPr>
                            <m:chr m:val="∑"/>
                            <m:limLoc m:val="undOvr"/>
                            <m:ctrlPr>
                              <w:rPr>
                                <w:rFonts w:ascii="Cambria Math" w:hAnsi="Cambria Math" w:cstheme="minorHAnsi"/>
                                <w:i/>
                              </w:rPr>
                            </m:ctrlPr>
                          </m:naryPr>
                          <m:sub>
                            <m:r>
                              <w:rPr>
                                <w:rFonts w:ascii="Cambria Math" w:hAnsi="Cambria Math" w:cstheme="minorHAnsi"/>
                              </w:rPr>
                              <m:t>l=1</m:t>
                            </m:r>
                          </m:sub>
                          <m:sup>
                            <m:r>
                              <w:rPr>
                                <w:rFonts w:ascii="Cambria Math" w:hAnsi="Cambria Math" w:cstheme="minorHAnsi"/>
                              </w:rPr>
                              <m:t>6400</m:t>
                            </m:r>
                          </m:sup>
                          <m:e>
                            <m:sSub>
                              <m:sSubPr>
                                <m:ctrlPr>
                                  <w:rPr>
                                    <w:rFonts w:ascii="Cambria Math" w:hAnsi="Cambria Math" w:cstheme="minorHAnsi"/>
                                    <w:i/>
                                  </w:rPr>
                                </m:ctrlPr>
                              </m:sSubPr>
                              <m:e>
                                <m:r>
                                  <w:rPr>
                                    <w:rFonts w:ascii="Cambria Math" w:hAnsi="Cambria Math" w:cstheme="minorHAnsi"/>
                                  </w:rPr>
                                  <m:t>CU</m:t>
                                </m:r>
                              </m:e>
                              <m:sub>
                                <m:r>
                                  <w:rPr>
                                    <w:rFonts w:ascii="Cambria Math" w:hAnsi="Cambria Math" w:cstheme="minorHAnsi"/>
                                  </w:rPr>
                                  <m:t>ij,l,k,p</m:t>
                                </m:r>
                              </m:sub>
                            </m:sSub>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E</m:t>
                                    </m:r>
                                  </m:e>
                                  <m:sub>
                                    <m:r>
                                      <w:rPr>
                                        <w:rFonts w:ascii="Cambria Math" w:hAnsi="Cambria Math" w:cstheme="minorHAnsi"/>
                                      </w:rPr>
                                      <m:t>ij,l,k,p</m:t>
                                    </m:r>
                                  </m:sub>
                                </m:sSub>
                              </m:num>
                              <m:den>
                                <m:sSub>
                                  <m:sSubPr>
                                    <m:ctrlPr>
                                      <w:rPr>
                                        <w:rFonts w:ascii="Cambria Math" w:hAnsi="Cambria Math" w:cstheme="minorHAnsi"/>
                                        <w:i/>
                                      </w:rPr>
                                    </m:ctrlPr>
                                  </m:sSubPr>
                                  <m:e>
                                    <m:r>
                                      <w:rPr>
                                        <w:rFonts w:ascii="Cambria Math" w:hAnsi="Cambria Math" w:cstheme="minorHAnsi"/>
                                      </w:rPr>
                                      <m:t>E</m:t>
                                    </m:r>
                                  </m:e>
                                  <m:sub>
                                    <m:r>
                                      <w:rPr>
                                        <w:rFonts w:ascii="Cambria Math" w:hAnsi="Cambria Math" w:cstheme="minorHAnsi"/>
                                      </w:rPr>
                                      <m:t>b</m:t>
                                    </m:r>
                                  </m:sub>
                                </m:sSub>
                              </m:den>
                            </m:f>
                          </m:e>
                        </m:nary>
                      </m:e>
                    </m:nary>
                  </m:e>
                </m:nary>
                <m:r>
                  <m:rPr>
                    <m:sty m:val="p"/>
                  </m:rPr>
                  <w:rPr>
                    <w:rFonts w:ascii="Cambria Math" w:hAnsi="Cambria Math" w:cstheme="minorHAnsi"/>
                  </w:rPr>
                  <w:br/>
                </m:r>
              </m:oMath>
            </m:oMathPara>
            <w:r w:rsidR="00A9354F" w:rsidRPr="00A40217">
              <w:rPr>
                <w:rFonts w:cstheme="minorHAnsi"/>
              </w:rPr>
              <w:tab/>
            </w:r>
          </w:p>
        </w:tc>
        <w:tc>
          <w:tcPr>
            <w:tcW w:w="1015" w:type="dxa"/>
          </w:tcPr>
          <w:p w14:paraId="4842B5A4" w14:textId="77777777" w:rsidR="00A9354F" w:rsidRPr="00A40217" w:rsidRDefault="00A9354F" w:rsidP="00A36BB9">
            <w:pPr>
              <w:spacing w:after="200"/>
              <w:jc w:val="right"/>
              <w:rPr>
                <w:rFonts w:cstheme="minorHAnsi"/>
              </w:rPr>
            </w:pPr>
            <w:r w:rsidRPr="00A40217">
              <w:rPr>
                <w:rFonts w:cstheme="minorHAnsi"/>
              </w:rPr>
              <w:t>(</w:t>
            </w:r>
            <w:bookmarkStart w:id="40" w:name="pa_g_cyc"/>
            <w:bookmarkStart w:id="41" w:name="SRTM"/>
            <w:r w:rsidRPr="00A40217">
              <w:rPr>
                <w:rFonts w:cstheme="minorHAnsi"/>
              </w:rPr>
              <w:fldChar w:fldCharType="begin"/>
            </w:r>
            <w:r w:rsidRPr="00A40217">
              <w:rPr>
                <w:rFonts w:cstheme="minorHAnsi"/>
              </w:rPr>
              <w:instrText xml:space="preserve"> SEQ Eq \* MERGEFORMAT </w:instrText>
            </w:r>
            <w:r w:rsidRPr="00A40217">
              <w:rPr>
                <w:rFonts w:cstheme="minorHAnsi"/>
              </w:rPr>
              <w:fldChar w:fldCharType="separate"/>
            </w:r>
            <w:r w:rsidRPr="00A40217">
              <w:rPr>
                <w:rFonts w:cstheme="minorHAnsi"/>
                <w:noProof/>
              </w:rPr>
              <w:t>6</w:t>
            </w:r>
            <w:r w:rsidRPr="00A40217">
              <w:rPr>
                <w:rFonts w:cstheme="minorHAnsi"/>
              </w:rPr>
              <w:fldChar w:fldCharType="end"/>
            </w:r>
            <w:bookmarkEnd w:id="40"/>
            <w:bookmarkEnd w:id="41"/>
            <w:r w:rsidRPr="00A40217">
              <w:rPr>
                <w:rFonts w:cstheme="minorHAnsi"/>
              </w:rPr>
              <w:t>)</w:t>
            </w:r>
          </w:p>
        </w:tc>
      </w:tr>
    </w:tbl>
    <w:p w14:paraId="0D93E8A8" w14:textId="77777777" w:rsidR="00A9354F" w:rsidRPr="00A40217" w:rsidRDefault="00A9354F" w:rsidP="00A9354F">
      <w:pPr>
        <w:rPr>
          <w:rFonts w:cstheme="minorHAnsi"/>
          <w:szCs w:val="24"/>
        </w:rPr>
      </w:pPr>
      <w:r w:rsidRPr="00A40217">
        <w:rPr>
          <w:rFonts w:cstheme="minorHAnsi"/>
          <w:szCs w:val="24"/>
        </w:rPr>
        <w:t xml:space="preserve">where, </w:t>
      </w:r>
      <w:proofErr w:type="spellStart"/>
      <w:r w:rsidRPr="00A40217">
        <w:rPr>
          <w:rFonts w:cstheme="minorHAnsi"/>
          <w:i/>
          <w:szCs w:val="24"/>
        </w:rPr>
        <w:t>ij</w:t>
      </w:r>
      <w:proofErr w:type="spellEnd"/>
      <w:r w:rsidRPr="00A40217">
        <w:rPr>
          <w:rFonts w:cstheme="minorHAnsi"/>
          <w:szCs w:val="24"/>
        </w:rPr>
        <w:t xml:space="preserve"> refers to the grid at row </w:t>
      </w:r>
      <w:proofErr w:type="spellStart"/>
      <w:r w:rsidRPr="00A40217">
        <w:rPr>
          <w:rFonts w:cstheme="minorHAnsi"/>
          <w:i/>
          <w:szCs w:val="24"/>
        </w:rPr>
        <w:t>i</w:t>
      </w:r>
      <w:proofErr w:type="spellEnd"/>
      <w:r w:rsidRPr="00A40217">
        <w:rPr>
          <w:rFonts w:cstheme="minorHAnsi"/>
          <w:szCs w:val="24"/>
        </w:rPr>
        <w:t xml:space="preserve"> and column </w:t>
      </w:r>
      <w:r w:rsidRPr="00A40217">
        <w:rPr>
          <w:rFonts w:cstheme="minorHAnsi"/>
          <w:i/>
          <w:szCs w:val="24"/>
        </w:rPr>
        <w:t xml:space="preserve">j </w:t>
      </w:r>
      <w:r w:rsidRPr="00A40217">
        <w:rPr>
          <w:rFonts w:cstheme="minorHAnsi"/>
          <w:szCs w:val="24"/>
        </w:rPr>
        <w:t xml:space="preserve">of the model domain; </w:t>
      </w:r>
      <w:r w:rsidRPr="00A40217">
        <w:rPr>
          <w:rFonts w:cstheme="minorHAnsi"/>
          <w:i/>
          <w:szCs w:val="24"/>
        </w:rPr>
        <w:t>k</w:t>
      </w:r>
      <w:r w:rsidRPr="00A40217">
        <w:rPr>
          <w:rFonts w:cstheme="minorHAnsi"/>
          <w:szCs w:val="24"/>
        </w:rPr>
        <w:t xml:space="preserve"> refers to the layer type, </w:t>
      </w:r>
      <w:r w:rsidRPr="00A40217">
        <w:rPr>
          <w:rFonts w:cstheme="minorHAnsi"/>
          <w:i/>
          <w:szCs w:val="24"/>
        </w:rPr>
        <w:t>p</w:t>
      </w:r>
      <w:r w:rsidRPr="00A40217">
        <w:rPr>
          <w:rFonts w:cstheme="minorHAnsi"/>
          <w:szCs w:val="24"/>
        </w:rPr>
        <w:t xml:space="preserve"> refers to the pollutant type, </w:t>
      </w:r>
      <w:r w:rsidRPr="00A40217">
        <w:rPr>
          <w:rFonts w:cstheme="minorHAnsi"/>
          <w:i/>
          <w:szCs w:val="24"/>
        </w:rPr>
        <w:t>l</w:t>
      </w:r>
      <w:r w:rsidRPr="00A40217">
        <w:rPr>
          <w:rFonts w:cstheme="minorHAnsi"/>
          <w:szCs w:val="24"/>
        </w:rPr>
        <w:t xml:space="preserve"> refers to the grid number, </w:t>
      </w:r>
      <m:oMath>
        <m:sSub>
          <m:sSubPr>
            <m:ctrlPr>
              <w:rPr>
                <w:rFonts w:ascii="Cambria Math" w:hAnsi="Cambria Math" w:cstheme="minorHAnsi"/>
                <w:i/>
              </w:rPr>
            </m:ctrlPr>
          </m:sSubPr>
          <m:e>
            <m:r>
              <w:rPr>
                <w:rFonts w:ascii="Cambria Math" w:hAnsi="Cambria Math" w:cstheme="minorHAnsi"/>
              </w:rPr>
              <m:t>CM</m:t>
            </m:r>
          </m:e>
          <m:sub>
            <m:r>
              <w:rPr>
                <w:rFonts w:ascii="Cambria Math" w:hAnsi="Cambria Math" w:cstheme="minorHAnsi"/>
              </w:rPr>
              <m:t>ij</m:t>
            </m:r>
          </m:sub>
        </m:sSub>
      </m:oMath>
      <w:r w:rsidRPr="00A40217">
        <w:rPr>
          <w:rFonts w:cstheme="minorHAnsi"/>
          <w:i/>
          <w:szCs w:val="24"/>
        </w:rPr>
        <w:t xml:space="preserve"> </w:t>
      </w:r>
      <w:r w:rsidRPr="00A40217">
        <w:rPr>
          <w:rFonts w:cstheme="minorHAnsi"/>
          <w:szCs w:val="24"/>
        </w:rPr>
        <w:t xml:space="preserve">refers to the modelled concentration at grid </w:t>
      </w:r>
      <w:proofErr w:type="spellStart"/>
      <w:r w:rsidRPr="00A40217">
        <w:rPr>
          <w:rFonts w:cstheme="minorHAnsi"/>
          <w:i/>
          <w:szCs w:val="24"/>
        </w:rPr>
        <w:t>ij</w:t>
      </w:r>
      <w:proofErr w:type="spellEnd"/>
      <w:r w:rsidRPr="00A40217">
        <w:rPr>
          <w:rFonts w:cstheme="minorHAnsi"/>
          <w:szCs w:val="24"/>
        </w:rPr>
        <w:t xml:space="preserve">; </w:t>
      </w:r>
      <w:r w:rsidRPr="00A40217">
        <w:rPr>
          <w:rFonts w:cstheme="minorHAnsi"/>
          <w:i/>
          <w:szCs w:val="24"/>
        </w:rPr>
        <w:t>CU</w:t>
      </w:r>
      <w:r w:rsidRPr="00A40217">
        <w:rPr>
          <w:rFonts w:cstheme="minorHAnsi"/>
          <w:szCs w:val="24"/>
        </w:rPr>
        <w:t xml:space="preserve"> is the concentration increase corresponding to pollutant- and layer-specific constant emissions of </w:t>
      </w:r>
      <m:oMath>
        <m:sSub>
          <m:sSubPr>
            <m:ctrlPr>
              <w:rPr>
                <w:rFonts w:ascii="Cambria Math" w:hAnsi="Cambria Math" w:cstheme="minorHAnsi"/>
                <w:i/>
              </w:rPr>
            </m:ctrlPr>
          </m:sSubPr>
          <m:e>
            <m:r>
              <w:rPr>
                <w:rFonts w:ascii="Cambria Math" w:hAnsi="Cambria Math" w:cstheme="minorHAnsi"/>
              </w:rPr>
              <m:t>E</m:t>
            </m:r>
          </m:e>
          <m:sub>
            <m:r>
              <w:rPr>
                <w:rFonts w:ascii="Cambria Math" w:hAnsi="Cambria Math" w:cstheme="minorHAnsi"/>
              </w:rPr>
              <m:t>b</m:t>
            </m:r>
          </m:sub>
        </m:sSub>
      </m:oMath>
      <w:r w:rsidRPr="00A40217">
        <w:rPr>
          <w:rFonts w:cstheme="minorHAnsi"/>
          <w:szCs w:val="24"/>
        </w:rPr>
        <w:t xml:space="preserve"> (=100 tonnes) in grid </w:t>
      </w:r>
      <w:proofErr w:type="spellStart"/>
      <w:r w:rsidRPr="00A40217">
        <w:rPr>
          <w:rFonts w:cstheme="minorHAnsi"/>
          <w:i/>
          <w:szCs w:val="24"/>
        </w:rPr>
        <w:t>ij</w:t>
      </w:r>
      <w:proofErr w:type="spellEnd"/>
      <w:r w:rsidRPr="00A40217">
        <w:rPr>
          <w:rFonts w:cstheme="minorHAnsi"/>
          <w:szCs w:val="24"/>
        </w:rPr>
        <w:t xml:space="preserve">. </w:t>
      </w:r>
    </w:p>
    <w:p w14:paraId="7E513936" w14:textId="05F049F0" w:rsidR="00A9354F" w:rsidRPr="00A40217" w:rsidRDefault="00A9354F" w:rsidP="00A9354F">
      <w:pPr>
        <w:rPr>
          <w:rFonts w:cstheme="minorHAnsi"/>
          <w:szCs w:val="24"/>
        </w:rPr>
      </w:pPr>
      <w:r w:rsidRPr="00A40217">
        <w:rPr>
          <w:rFonts w:cstheme="minorHAnsi"/>
          <w:szCs w:val="24"/>
        </w:rPr>
        <w:t xml:space="preserve">The modelling setup was done in MATLAB </w:t>
      </w:r>
      <w:r w:rsidRPr="00A40217">
        <w:rPr>
          <w:rFonts w:cstheme="minorHAnsi"/>
        </w:rPr>
        <w:t>(</w:t>
      </w:r>
      <w:proofErr w:type="spellStart"/>
      <w:r w:rsidRPr="00A40217">
        <w:rPr>
          <w:rFonts w:cstheme="minorHAnsi"/>
        </w:rPr>
        <w:t>Mathworks</w:t>
      </w:r>
      <w:proofErr w:type="spellEnd"/>
      <w:r w:rsidRPr="00A40217">
        <w:rPr>
          <w:rFonts w:cstheme="minorHAnsi"/>
        </w:rPr>
        <w:t xml:space="preserve">, Inc., Natick, MA) </w:t>
      </w:r>
      <w:r w:rsidRPr="00A40217">
        <w:rPr>
          <w:rFonts w:cstheme="minorHAnsi"/>
          <w:szCs w:val="24"/>
        </w:rPr>
        <w:t>computing platform. Using multiple iterations, emission inventory was calibrated by comparing the modelled concentrations with the annual-average concentration of three air-quality monitoring stations operated by DPCC. The data of the three stations have been presented in</w:t>
      </w:r>
      <w:r w:rsidR="007C02D1" w:rsidRPr="00A40217">
        <w:rPr>
          <w:rFonts w:cstheme="minorHAnsi"/>
          <w:szCs w:val="24"/>
        </w:rPr>
        <w:t xml:space="preserve"> Figure 9 </w:t>
      </w:r>
      <w:r w:rsidRPr="00A40217">
        <w:rPr>
          <w:rFonts w:cstheme="minorHAnsi"/>
          <w:szCs w:val="24"/>
        </w:rPr>
        <w:t>and their geographic locations are shown in</w:t>
      </w:r>
      <w:r w:rsidR="007C02D1" w:rsidRPr="00A40217">
        <w:rPr>
          <w:rFonts w:cstheme="minorHAnsi"/>
          <w:szCs w:val="24"/>
        </w:rPr>
        <w:t xml:space="preserve"> Figure 10</w:t>
      </w:r>
      <w:r w:rsidRPr="00A40217">
        <w:rPr>
          <w:rFonts w:cstheme="minorHAnsi"/>
          <w:szCs w:val="24"/>
        </w:rPr>
        <w:t>. Using these, gridded annual-average modelled PM</w:t>
      </w:r>
      <w:r w:rsidRPr="00A40217">
        <w:rPr>
          <w:rFonts w:cstheme="minorHAnsi"/>
          <w:szCs w:val="24"/>
          <w:vertAlign w:val="subscript"/>
        </w:rPr>
        <w:t xml:space="preserve">2.5 </w:t>
      </w:r>
      <w:r w:rsidRPr="00A40217">
        <w:rPr>
          <w:rFonts w:cstheme="minorHAnsi"/>
          <w:szCs w:val="24"/>
        </w:rPr>
        <w:t>concentrations were obtained. To estimate the contribution of transport sector to total modelled concentration in each grid, we used the following calculation:</w:t>
      </w:r>
    </w:p>
    <w:tbl>
      <w:tblPr>
        <w:tblStyle w:val="TableGrid"/>
        <w:tblW w:w="8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496"/>
      </w:tblGrid>
      <w:tr w:rsidR="00A9354F" w:rsidRPr="00A40217" w14:paraId="1D84B402" w14:textId="77777777" w:rsidTr="00A36BB9">
        <w:trPr>
          <w:trHeight w:hRule="exact" w:val="963"/>
        </w:trPr>
        <w:tc>
          <w:tcPr>
            <w:tcW w:w="8075" w:type="dxa"/>
          </w:tcPr>
          <w:p w14:paraId="0D0CD810" w14:textId="77777777" w:rsidR="00A9354F" w:rsidRPr="00A40217" w:rsidRDefault="00030791" w:rsidP="00A36BB9">
            <w:pPr>
              <w:rPr>
                <w:rFonts w:cstheme="minorHAnsi"/>
              </w:rPr>
            </w:pPr>
            <m:oMathPara>
              <m:oMath>
                <m:sSub>
                  <m:sSubPr>
                    <m:ctrlPr>
                      <w:rPr>
                        <w:rFonts w:ascii="Cambria Math" w:hAnsi="Cambria Math" w:cstheme="minorHAnsi"/>
                        <w:i/>
                      </w:rPr>
                    </m:ctrlPr>
                  </m:sSubPr>
                  <m:e>
                    <m:r>
                      <w:rPr>
                        <w:rFonts w:ascii="Cambria Math" w:hAnsi="Cambria Math" w:cstheme="minorHAnsi"/>
                      </w:rPr>
                      <m:t>f</m:t>
                    </m:r>
                  </m:e>
                  <m:sub>
                    <m:r>
                      <w:rPr>
                        <w:rFonts w:ascii="Cambria Math" w:hAnsi="Cambria Math" w:cstheme="minorHAnsi"/>
                      </w:rPr>
                      <m:t>veh,ij</m:t>
                    </m:r>
                  </m:sub>
                </m:sSub>
                <m:r>
                  <m:rPr>
                    <m:sty m:val="p"/>
                  </m:rPr>
                  <w:rPr>
                    <w:rFonts w:ascii="Cambria Math" w:hAnsi="Cambria Math" w:cstheme="minorHAnsi"/>
                  </w:rPr>
                  <m:t>=</m:t>
                </m:r>
                <m:f>
                  <m:fPr>
                    <m:ctrlPr>
                      <w:rPr>
                        <w:rFonts w:ascii="Cambria Math" w:hAnsi="Cambria Math" w:cstheme="minorHAnsi"/>
                      </w:rPr>
                    </m:ctrlPr>
                  </m:fPr>
                  <m:num>
                    <m:nary>
                      <m:naryPr>
                        <m:chr m:val="∑"/>
                        <m:limLoc m:val="undOvr"/>
                        <m:ctrlPr>
                          <w:rPr>
                            <w:rFonts w:ascii="Cambria Math" w:hAnsi="Cambria Math" w:cstheme="minorHAnsi"/>
                          </w:rPr>
                        </m:ctrlPr>
                      </m:naryPr>
                      <m:sub>
                        <m:r>
                          <w:rPr>
                            <w:rFonts w:ascii="Cambria Math" w:hAnsi="Cambria Math" w:cstheme="minorHAnsi"/>
                          </w:rPr>
                          <m:t>p=1</m:t>
                        </m:r>
                      </m:sub>
                      <m:sup>
                        <m:r>
                          <w:rPr>
                            <w:rFonts w:ascii="Cambria Math" w:hAnsi="Cambria Math" w:cstheme="minorHAnsi"/>
                          </w:rPr>
                          <m:t>3</m:t>
                        </m:r>
                      </m:sup>
                      <m:e>
                        <m:nary>
                          <m:naryPr>
                            <m:chr m:val="∑"/>
                            <m:limLoc m:val="undOvr"/>
                            <m:ctrlPr>
                              <w:rPr>
                                <w:rFonts w:ascii="Cambria Math" w:hAnsi="Cambria Math" w:cstheme="minorHAnsi"/>
                                <w:i/>
                              </w:rPr>
                            </m:ctrlPr>
                          </m:naryPr>
                          <m:sub>
                            <m:r>
                              <w:rPr>
                                <w:rFonts w:ascii="Cambria Math" w:hAnsi="Cambria Math" w:cstheme="minorHAnsi"/>
                              </w:rPr>
                              <m:t>l=1</m:t>
                            </m:r>
                          </m:sub>
                          <m:sup>
                            <m:r>
                              <w:rPr>
                                <w:rFonts w:ascii="Cambria Math" w:hAnsi="Cambria Math" w:cstheme="minorHAnsi"/>
                              </w:rPr>
                              <m:t>6400</m:t>
                            </m:r>
                          </m:sup>
                          <m:e>
                            <m:sSub>
                              <m:sSubPr>
                                <m:ctrlPr>
                                  <w:rPr>
                                    <w:rFonts w:ascii="Cambria Math" w:hAnsi="Cambria Math" w:cstheme="minorHAnsi"/>
                                    <w:i/>
                                  </w:rPr>
                                </m:ctrlPr>
                              </m:sSubPr>
                              <m:e>
                                <m:r>
                                  <w:rPr>
                                    <w:rFonts w:ascii="Cambria Math" w:hAnsi="Cambria Math" w:cstheme="minorHAnsi"/>
                                  </w:rPr>
                                  <m:t>CU</m:t>
                                </m:r>
                              </m:e>
                              <m:sub>
                                <m:r>
                                  <w:rPr>
                                    <w:rFonts w:ascii="Cambria Math" w:hAnsi="Cambria Math" w:cstheme="minorHAnsi"/>
                                  </w:rPr>
                                  <m:t>ij,l,veh,p</m:t>
                                </m:r>
                              </m:sub>
                            </m:sSub>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E</m:t>
                                    </m:r>
                                  </m:e>
                                  <m:sub>
                                    <m:r>
                                      <w:rPr>
                                        <w:rFonts w:ascii="Cambria Math" w:hAnsi="Cambria Math" w:cstheme="minorHAnsi"/>
                                      </w:rPr>
                                      <m:t>ij,l,veh,p</m:t>
                                    </m:r>
                                  </m:sub>
                                </m:sSub>
                              </m:num>
                              <m:den>
                                <m:sSub>
                                  <m:sSubPr>
                                    <m:ctrlPr>
                                      <w:rPr>
                                        <w:rFonts w:ascii="Cambria Math" w:hAnsi="Cambria Math" w:cstheme="minorHAnsi"/>
                                        <w:i/>
                                      </w:rPr>
                                    </m:ctrlPr>
                                  </m:sSubPr>
                                  <m:e>
                                    <m:r>
                                      <w:rPr>
                                        <w:rFonts w:ascii="Cambria Math" w:hAnsi="Cambria Math" w:cstheme="minorHAnsi"/>
                                      </w:rPr>
                                      <m:t>E</m:t>
                                    </m:r>
                                  </m:e>
                                  <m:sub>
                                    <m:r>
                                      <w:rPr>
                                        <w:rFonts w:ascii="Cambria Math" w:hAnsi="Cambria Math" w:cstheme="minorHAnsi"/>
                                      </w:rPr>
                                      <m:t>b</m:t>
                                    </m:r>
                                  </m:sub>
                                </m:sSub>
                              </m:den>
                            </m:f>
                          </m:e>
                        </m:nary>
                      </m:e>
                    </m:nary>
                  </m:num>
                  <m:den>
                    <m:sSub>
                      <m:sSubPr>
                        <m:ctrlPr>
                          <w:rPr>
                            <w:rFonts w:ascii="Cambria Math" w:hAnsi="Cambria Math" w:cstheme="minorHAnsi"/>
                            <w:i/>
                          </w:rPr>
                        </m:ctrlPr>
                      </m:sSubPr>
                      <m:e>
                        <m:r>
                          <w:rPr>
                            <w:rFonts w:ascii="Cambria Math" w:hAnsi="Cambria Math" w:cstheme="minorHAnsi"/>
                          </w:rPr>
                          <m:t>CM</m:t>
                        </m:r>
                      </m:e>
                      <m:sub>
                        <m:r>
                          <w:rPr>
                            <w:rFonts w:ascii="Cambria Math" w:hAnsi="Cambria Math" w:cstheme="minorHAnsi"/>
                          </w:rPr>
                          <m:t>ij</m:t>
                        </m:r>
                      </m:sub>
                    </m:sSub>
                  </m:den>
                </m:f>
              </m:oMath>
            </m:oMathPara>
          </w:p>
          <w:p w14:paraId="40C992A3" w14:textId="77777777" w:rsidR="00A9354F" w:rsidRPr="00A40217" w:rsidRDefault="00A9354F" w:rsidP="00A36BB9">
            <w:pPr>
              <w:spacing w:after="200"/>
              <w:jc w:val="center"/>
              <w:rPr>
                <w:rFonts w:cstheme="minorHAnsi"/>
              </w:rPr>
            </w:pPr>
            <m:oMathPara>
              <m:oMath>
                <m:r>
                  <m:rPr>
                    <m:sty m:val="p"/>
                  </m:rPr>
                  <w:rPr>
                    <w:rFonts w:ascii="Cambria Math" w:hAnsi="Cambria Math" w:cstheme="minorHAnsi"/>
                  </w:rPr>
                  <w:br/>
                </m:r>
              </m:oMath>
            </m:oMathPara>
            <w:r w:rsidRPr="00A40217">
              <w:rPr>
                <w:rFonts w:cstheme="minorHAnsi"/>
              </w:rPr>
              <w:tab/>
            </w:r>
          </w:p>
        </w:tc>
        <w:tc>
          <w:tcPr>
            <w:tcW w:w="496" w:type="dxa"/>
          </w:tcPr>
          <w:p w14:paraId="100B533B" w14:textId="77777777" w:rsidR="00A9354F" w:rsidRPr="00A40217" w:rsidRDefault="00A9354F" w:rsidP="00A36BB9">
            <w:pPr>
              <w:spacing w:after="200"/>
              <w:jc w:val="right"/>
              <w:rPr>
                <w:rFonts w:cstheme="minorHAnsi"/>
              </w:rPr>
            </w:pPr>
            <w:r w:rsidRPr="00A40217">
              <w:rPr>
                <w:rFonts w:cstheme="minorHAnsi"/>
              </w:rPr>
              <w:t>(</w:t>
            </w:r>
            <w:r w:rsidRPr="00A40217">
              <w:rPr>
                <w:rFonts w:cstheme="minorHAnsi"/>
              </w:rPr>
              <w:fldChar w:fldCharType="begin"/>
            </w:r>
            <w:r w:rsidRPr="00A40217">
              <w:rPr>
                <w:rFonts w:cstheme="minorHAnsi"/>
              </w:rPr>
              <w:instrText xml:space="preserve"> SEQ Eq \* MERGEFORMAT </w:instrText>
            </w:r>
            <w:r w:rsidRPr="00A40217">
              <w:rPr>
                <w:rFonts w:cstheme="minorHAnsi"/>
              </w:rPr>
              <w:fldChar w:fldCharType="separate"/>
            </w:r>
            <w:r w:rsidRPr="00A40217">
              <w:rPr>
                <w:rFonts w:cstheme="minorHAnsi"/>
                <w:noProof/>
              </w:rPr>
              <w:t>7</w:t>
            </w:r>
            <w:r w:rsidRPr="00A40217">
              <w:rPr>
                <w:rFonts w:cstheme="minorHAnsi"/>
                <w:noProof/>
              </w:rPr>
              <w:fldChar w:fldCharType="end"/>
            </w:r>
            <w:r w:rsidRPr="00A40217">
              <w:rPr>
                <w:rFonts w:cstheme="minorHAnsi"/>
              </w:rPr>
              <w:t>)</w:t>
            </w:r>
          </w:p>
        </w:tc>
      </w:tr>
    </w:tbl>
    <w:p w14:paraId="06FA85B3" w14:textId="77777777" w:rsidR="00A9354F" w:rsidRPr="00A40217" w:rsidRDefault="00A9354F" w:rsidP="00A9354F">
      <w:pPr>
        <w:rPr>
          <w:rFonts w:cstheme="minorHAnsi"/>
          <w:szCs w:val="24"/>
        </w:rPr>
      </w:pPr>
    </w:p>
    <w:p w14:paraId="53E7D6C1" w14:textId="77777777" w:rsidR="00A9354F" w:rsidRPr="00A40217" w:rsidRDefault="00A9354F" w:rsidP="00A9354F">
      <w:pPr>
        <w:rPr>
          <w:rFonts w:eastAsiaTheme="minorEastAsia" w:cstheme="minorHAnsi"/>
        </w:rPr>
      </w:pPr>
      <w:r w:rsidRPr="00A40217">
        <w:rPr>
          <w:rFonts w:eastAsiaTheme="minorEastAsia" w:cstheme="minorHAnsi"/>
        </w:rPr>
        <w:t>To estimate city-wide population-weighted average contribution of transport to overall pollution (</w:t>
      </w:r>
      <m:oMath>
        <m:sSub>
          <m:sSubPr>
            <m:ctrlPr>
              <w:rPr>
                <w:rFonts w:ascii="Cambria Math" w:hAnsi="Cambria Math" w:cstheme="minorHAnsi"/>
                <w:i/>
              </w:rPr>
            </m:ctrlPr>
          </m:sSubPr>
          <m:e>
            <m:r>
              <w:rPr>
                <w:rFonts w:ascii="Cambria Math" w:hAnsi="Cambria Math" w:cstheme="minorHAnsi"/>
              </w:rPr>
              <m:t>f</m:t>
            </m:r>
          </m:e>
          <m:sub>
            <m:r>
              <w:rPr>
                <w:rFonts w:ascii="Cambria Math" w:hAnsi="Cambria Math" w:cstheme="minorHAnsi"/>
              </w:rPr>
              <m:t>veh, city</m:t>
            </m:r>
          </m:sub>
        </m:sSub>
      </m:oMath>
      <w:r w:rsidRPr="00A40217">
        <w:rPr>
          <w:rFonts w:eastAsiaTheme="minorEastAsia" w:cstheme="minorHAnsi"/>
        </w:rPr>
        <w:t>), we used the following calculation:</w:t>
      </w:r>
    </w:p>
    <w:tbl>
      <w:tblPr>
        <w:tblStyle w:val="TableGrid"/>
        <w:tblW w:w="8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496"/>
      </w:tblGrid>
      <w:tr w:rsidR="00A9354F" w:rsidRPr="00A40217" w14:paraId="6EA7CAB5" w14:textId="77777777" w:rsidTr="00A36BB9">
        <w:trPr>
          <w:trHeight w:hRule="exact" w:val="963"/>
        </w:trPr>
        <w:tc>
          <w:tcPr>
            <w:tcW w:w="8075" w:type="dxa"/>
          </w:tcPr>
          <w:p w14:paraId="002682D5" w14:textId="77777777" w:rsidR="00A9354F" w:rsidRPr="00A40217" w:rsidRDefault="00030791" w:rsidP="00A36BB9">
            <w:pPr>
              <w:rPr>
                <w:rFonts w:cstheme="minorHAnsi"/>
              </w:rPr>
            </w:pPr>
            <m:oMathPara>
              <m:oMath>
                <m:sSub>
                  <m:sSubPr>
                    <m:ctrlPr>
                      <w:rPr>
                        <w:rFonts w:ascii="Cambria Math" w:hAnsi="Cambria Math" w:cstheme="minorHAnsi"/>
                        <w:i/>
                      </w:rPr>
                    </m:ctrlPr>
                  </m:sSubPr>
                  <m:e>
                    <m:r>
                      <w:rPr>
                        <w:rFonts w:ascii="Cambria Math" w:hAnsi="Cambria Math" w:cstheme="minorHAnsi"/>
                      </w:rPr>
                      <m:t>f</m:t>
                    </m:r>
                  </m:e>
                  <m:sub>
                    <m:r>
                      <w:rPr>
                        <w:rFonts w:ascii="Cambria Math" w:hAnsi="Cambria Math" w:cstheme="minorHAnsi"/>
                      </w:rPr>
                      <m:t>veh, city</m:t>
                    </m:r>
                  </m:sub>
                </m:sSub>
                <m:r>
                  <m:rPr>
                    <m:sty m:val="p"/>
                  </m:rPr>
                  <w:rPr>
                    <w:rStyle w:val="tgc"/>
                    <w:rFonts w:ascii="Cambria Math" w:hAnsi="Cambria Math" w:cstheme="minorHAnsi"/>
                  </w:rPr>
                  <m:t xml:space="preserve"> </m:t>
                </m:r>
                <m:r>
                  <m:rPr>
                    <m:sty m:val="p"/>
                  </m:rP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ij</m:t>
                    </m:r>
                  </m:sub>
                </m:sSub>
                <m:f>
                  <m:fPr>
                    <m:ctrlPr>
                      <w:rPr>
                        <w:rFonts w:ascii="Cambria Math" w:hAnsi="Cambria Math" w:cstheme="minorHAnsi"/>
                      </w:rPr>
                    </m:ctrlPr>
                  </m:fPr>
                  <m:num>
                    <m:sSub>
                      <m:sSubPr>
                        <m:ctrlPr>
                          <w:rPr>
                            <w:rFonts w:ascii="Cambria Math" w:hAnsi="Cambria Math" w:cstheme="minorHAnsi"/>
                            <w:i/>
                          </w:rPr>
                        </m:ctrlPr>
                      </m:sSubPr>
                      <m:e>
                        <m:r>
                          <w:rPr>
                            <w:rFonts w:ascii="Cambria Math" w:hAnsi="Cambria Math" w:cstheme="minorHAnsi"/>
                          </w:rPr>
                          <m:t>f</m:t>
                        </m:r>
                      </m:e>
                      <m:sub>
                        <m:r>
                          <w:rPr>
                            <w:rFonts w:ascii="Cambria Math" w:hAnsi="Cambria Math" w:cstheme="minorHAnsi"/>
                          </w:rPr>
                          <m:t>veh,ij</m:t>
                        </m:r>
                      </m:sub>
                    </m:sSub>
                  </m:num>
                  <m:den>
                    <m:nary>
                      <m:naryPr>
                        <m:chr m:val="∑"/>
                        <m:limLoc m:val="undOvr"/>
                        <m:ctrlPr>
                          <w:rPr>
                            <w:rFonts w:ascii="Cambria Math" w:hAnsi="Cambria Math" w:cstheme="minorHAnsi"/>
                            <w:i/>
                          </w:rPr>
                        </m:ctrlPr>
                      </m:naryPr>
                      <m:sub>
                        <m:r>
                          <w:rPr>
                            <w:rFonts w:ascii="Cambria Math" w:hAnsi="Cambria Math" w:cstheme="minorHAnsi"/>
                          </w:rPr>
                          <m:t>ij</m:t>
                        </m:r>
                      </m:sub>
                      <m:sup/>
                      <m:e>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ij</m:t>
                            </m:r>
                          </m:sub>
                        </m:sSub>
                      </m:e>
                    </m:nary>
                  </m:den>
                </m:f>
                <m:r>
                  <m:rPr>
                    <m:sty m:val="p"/>
                  </m:rPr>
                  <w:rPr>
                    <w:rFonts w:ascii="Cambria Math" w:hAnsi="Cambria Math" w:cstheme="minorHAnsi"/>
                  </w:rPr>
                  <m:t xml:space="preserve">∀ </m:t>
                </m:r>
                <m:r>
                  <w:rPr>
                    <w:rFonts w:ascii="Cambria Math" w:hAnsi="Cambria Math" w:cstheme="minorHAnsi"/>
                  </w:rPr>
                  <m:t>ij</m:t>
                </m:r>
                <m:r>
                  <m:rPr>
                    <m:sty m:val="p"/>
                  </m:rPr>
                  <w:rPr>
                    <w:rStyle w:val="uni"/>
                    <w:rFonts w:ascii="Cambria Math" w:hAnsi="Cambria Math" w:cstheme="minorHAnsi"/>
                  </w:rPr>
                  <m:t>∈D</m:t>
                </m:r>
              </m:oMath>
            </m:oMathPara>
          </w:p>
          <w:p w14:paraId="6075DB40" w14:textId="77777777" w:rsidR="00A9354F" w:rsidRPr="00A40217" w:rsidRDefault="00A9354F" w:rsidP="00A36BB9">
            <w:pPr>
              <w:spacing w:after="200"/>
              <w:jc w:val="center"/>
              <w:rPr>
                <w:rFonts w:cstheme="minorHAnsi"/>
              </w:rPr>
            </w:pPr>
            <m:oMathPara>
              <m:oMath>
                <m:r>
                  <m:rPr>
                    <m:sty m:val="p"/>
                  </m:rPr>
                  <w:rPr>
                    <w:rFonts w:ascii="Cambria Math" w:hAnsi="Cambria Math" w:cstheme="minorHAnsi"/>
                  </w:rPr>
                  <w:br/>
                </m:r>
              </m:oMath>
            </m:oMathPara>
            <w:r w:rsidRPr="00A40217">
              <w:rPr>
                <w:rFonts w:cstheme="minorHAnsi"/>
              </w:rPr>
              <w:tab/>
            </w:r>
          </w:p>
        </w:tc>
        <w:tc>
          <w:tcPr>
            <w:tcW w:w="496" w:type="dxa"/>
          </w:tcPr>
          <w:p w14:paraId="24691718" w14:textId="77777777" w:rsidR="00A9354F" w:rsidRPr="00A40217" w:rsidRDefault="00A9354F" w:rsidP="00A36BB9">
            <w:pPr>
              <w:spacing w:after="200"/>
              <w:jc w:val="right"/>
              <w:rPr>
                <w:rFonts w:cstheme="minorHAnsi"/>
              </w:rPr>
            </w:pPr>
            <w:r w:rsidRPr="00A40217">
              <w:rPr>
                <w:rFonts w:cstheme="minorHAnsi"/>
              </w:rPr>
              <w:t>(</w:t>
            </w:r>
            <w:r w:rsidRPr="00A40217">
              <w:rPr>
                <w:rFonts w:cstheme="minorHAnsi"/>
              </w:rPr>
              <w:fldChar w:fldCharType="begin"/>
            </w:r>
            <w:r w:rsidRPr="00A40217">
              <w:rPr>
                <w:rFonts w:cstheme="minorHAnsi"/>
              </w:rPr>
              <w:instrText xml:space="preserve"> SEQ Eq \* MERGEFORMAT </w:instrText>
            </w:r>
            <w:r w:rsidRPr="00A40217">
              <w:rPr>
                <w:rFonts w:cstheme="minorHAnsi"/>
              </w:rPr>
              <w:fldChar w:fldCharType="separate"/>
            </w:r>
            <w:r w:rsidRPr="00A40217">
              <w:rPr>
                <w:rFonts w:cstheme="minorHAnsi"/>
                <w:noProof/>
              </w:rPr>
              <w:t>8</w:t>
            </w:r>
            <w:r w:rsidRPr="00A40217">
              <w:rPr>
                <w:rFonts w:cstheme="minorHAnsi"/>
                <w:noProof/>
              </w:rPr>
              <w:fldChar w:fldCharType="end"/>
            </w:r>
            <w:r w:rsidRPr="00A40217">
              <w:rPr>
                <w:rFonts w:cstheme="minorHAnsi"/>
              </w:rPr>
              <w:t>)</w:t>
            </w:r>
          </w:p>
        </w:tc>
      </w:tr>
    </w:tbl>
    <w:p w14:paraId="36187D89" w14:textId="78607667" w:rsidR="00A9354F" w:rsidRPr="00A40217" w:rsidRDefault="00A9354F" w:rsidP="00A9354F">
      <w:pPr>
        <w:rPr>
          <w:rFonts w:eastAsiaTheme="minorEastAsia" w:cstheme="minorHAnsi"/>
        </w:rPr>
      </w:pPr>
      <w:r w:rsidRPr="00A40217">
        <w:rPr>
          <w:rFonts w:eastAsiaTheme="minorEastAsia" w:cstheme="minorHAnsi"/>
        </w:rPr>
        <w:t xml:space="preserve">where, D is the set of row and column combination of grids covering Delhi, and </w:t>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ij</m:t>
            </m:r>
          </m:sub>
        </m:sSub>
      </m:oMath>
      <w:r w:rsidRPr="00A40217">
        <w:rPr>
          <w:rFonts w:eastAsiaTheme="minorEastAsia" w:cstheme="minorHAnsi"/>
        </w:rPr>
        <w:t xml:space="preserve"> is the population of grid </w:t>
      </w:r>
      <m:oMath>
        <m:r>
          <w:rPr>
            <w:rFonts w:ascii="Cambria Math" w:eastAsiaTheme="minorEastAsia" w:hAnsi="Cambria Math" w:cstheme="minorHAnsi"/>
          </w:rPr>
          <m:t>ij</m:t>
        </m:r>
      </m:oMath>
      <w:r w:rsidRPr="00A40217">
        <w:rPr>
          <w:rFonts w:eastAsiaTheme="minorEastAsia" w:cstheme="minorHAnsi"/>
        </w:rPr>
        <w:t>. Note that the modelling domain for dispersion model consists of Delhi as well as its neighbouring cities. However, for the purpose of health impact estimates, only Delhi has been considered as the case study. Using similar method, the city-level average shares of other three sectors were also estimated.</w:t>
      </w:r>
    </w:p>
    <w:p w14:paraId="7043D04C" w14:textId="77777777" w:rsidR="007C02D1" w:rsidRPr="00A40217" w:rsidRDefault="007C02D1" w:rsidP="007C02D1">
      <w:pPr>
        <w:spacing w:after="0"/>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3"/>
        <w:gridCol w:w="4623"/>
      </w:tblGrid>
      <w:tr w:rsidR="007C02D1" w:rsidRPr="00A40217" w14:paraId="77ECDFDB" w14:textId="77777777" w:rsidTr="00A36BB9">
        <w:trPr>
          <w:trHeight w:val="4850"/>
        </w:trPr>
        <w:tc>
          <w:tcPr>
            <w:tcW w:w="9576" w:type="dxa"/>
            <w:gridSpan w:val="2"/>
          </w:tcPr>
          <w:p w14:paraId="749AF66E" w14:textId="77777777" w:rsidR="007C02D1" w:rsidRPr="00A40217" w:rsidRDefault="007C02D1" w:rsidP="00A36BB9">
            <w:pPr>
              <w:rPr>
                <w:rFonts w:cstheme="minorHAnsi"/>
              </w:rPr>
            </w:pPr>
            <w:r w:rsidRPr="00A40217">
              <w:rPr>
                <w:rFonts w:cstheme="minorHAnsi"/>
                <w:noProof/>
                <w:lang w:val="en-GB" w:eastAsia="en-GB"/>
              </w:rPr>
              <w:lastRenderedPageBreak/>
              <w:drawing>
                <wp:inline distT="0" distB="0" distL="0" distR="0" wp14:anchorId="4EADCA59" wp14:editId="7C389C5C">
                  <wp:extent cx="5349241" cy="3157538"/>
                  <wp:effectExtent l="0" t="0" r="3810" b="5080"/>
                  <wp:docPr id="2" name="Picture 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histogram&#10;&#10;Description automatically generated"/>
                          <pic:cNvPicPr/>
                        </pic:nvPicPr>
                        <pic:blipFill>
                          <a:blip r:embed="rId19" cstate="print"/>
                          <a:stretch>
                            <a:fillRect/>
                          </a:stretch>
                        </pic:blipFill>
                        <pic:spPr>
                          <a:xfrm>
                            <a:off x="0" y="0"/>
                            <a:ext cx="5353514" cy="3160060"/>
                          </a:xfrm>
                          <a:prstGeom prst="rect">
                            <a:avLst/>
                          </a:prstGeom>
                        </pic:spPr>
                      </pic:pic>
                    </a:graphicData>
                  </a:graphic>
                </wp:inline>
              </w:drawing>
            </w:r>
          </w:p>
        </w:tc>
      </w:tr>
      <w:tr w:rsidR="007C02D1" w:rsidRPr="00A40217" w14:paraId="69CD6797" w14:textId="77777777" w:rsidTr="00A36BB9">
        <w:trPr>
          <w:trHeight w:val="3068"/>
        </w:trPr>
        <w:tc>
          <w:tcPr>
            <w:tcW w:w="4788" w:type="dxa"/>
          </w:tcPr>
          <w:p w14:paraId="5554C52D" w14:textId="77777777" w:rsidR="007C02D1" w:rsidRPr="00A40217" w:rsidRDefault="007C02D1" w:rsidP="00A36BB9">
            <w:pPr>
              <w:rPr>
                <w:rFonts w:cstheme="minorHAnsi"/>
              </w:rPr>
            </w:pPr>
            <w:r w:rsidRPr="00A40217">
              <w:rPr>
                <w:rFonts w:cstheme="minorHAnsi"/>
                <w:noProof/>
                <w:lang w:val="en-GB" w:eastAsia="en-GB"/>
              </w:rPr>
              <w:drawing>
                <wp:inline distT="0" distB="0" distL="0" distR="0" wp14:anchorId="22D36212" wp14:editId="22660EB4">
                  <wp:extent cx="2628900" cy="2103120"/>
                  <wp:effectExtent l="0" t="0" r="0" b="0"/>
                  <wp:docPr id="2054" name="Picture 2054" descr="C:\Users\admin\Desktop\Exposure paper submission\figure 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Exposure paper submission\figure 1b.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31066" cy="2104853"/>
                          </a:xfrm>
                          <a:prstGeom prst="rect">
                            <a:avLst/>
                          </a:prstGeom>
                          <a:noFill/>
                          <a:ln>
                            <a:noFill/>
                          </a:ln>
                        </pic:spPr>
                      </pic:pic>
                    </a:graphicData>
                  </a:graphic>
                </wp:inline>
              </w:drawing>
            </w:r>
          </w:p>
        </w:tc>
        <w:tc>
          <w:tcPr>
            <w:tcW w:w="4788" w:type="dxa"/>
          </w:tcPr>
          <w:p w14:paraId="301D297D" w14:textId="77777777" w:rsidR="007C02D1" w:rsidRPr="00A40217" w:rsidRDefault="007C02D1" w:rsidP="00A36BB9">
            <w:pPr>
              <w:keepNext/>
              <w:rPr>
                <w:rFonts w:cstheme="minorHAnsi"/>
              </w:rPr>
            </w:pPr>
            <w:r w:rsidRPr="00A40217">
              <w:rPr>
                <w:rFonts w:cstheme="minorHAnsi"/>
                <w:noProof/>
                <w:lang w:val="en-GB" w:eastAsia="en-GB"/>
              </w:rPr>
              <w:drawing>
                <wp:inline distT="0" distB="0" distL="0" distR="0" wp14:anchorId="404ED1C7" wp14:editId="2AD29696">
                  <wp:extent cx="2786063" cy="2140091"/>
                  <wp:effectExtent l="0" t="0" r="0" b="0"/>
                  <wp:docPr id="2056" name="Picture 2056" descr="C:\Users\admin\Desktop\Exposure paper submission\figure 1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Exposure paper submission\figure 1c.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92585" cy="2145101"/>
                          </a:xfrm>
                          <a:prstGeom prst="rect">
                            <a:avLst/>
                          </a:prstGeom>
                          <a:noFill/>
                          <a:ln>
                            <a:noFill/>
                          </a:ln>
                        </pic:spPr>
                      </pic:pic>
                    </a:graphicData>
                  </a:graphic>
                </wp:inline>
              </w:drawing>
            </w:r>
          </w:p>
        </w:tc>
      </w:tr>
    </w:tbl>
    <w:p w14:paraId="080BFB21" w14:textId="0C690774" w:rsidR="007C02D1" w:rsidRPr="00A40217" w:rsidRDefault="007C02D1" w:rsidP="007C02D1">
      <w:pPr>
        <w:pStyle w:val="Caption"/>
        <w:rPr>
          <w:rFonts w:asciiTheme="minorHAnsi" w:hAnsiTheme="minorHAnsi" w:cstheme="minorHAnsi"/>
        </w:rPr>
      </w:pPr>
      <w:bookmarkStart w:id="42" w:name="_Ref432769067"/>
      <w:bookmarkStart w:id="43" w:name="_Toc476818677"/>
      <w:r w:rsidRPr="00A40217">
        <w:rPr>
          <w:rFonts w:asciiTheme="minorHAnsi" w:hAnsiTheme="minorHAnsi" w:cstheme="minorHAnsi"/>
        </w:rPr>
        <w:t xml:space="preserve">Figure </w:t>
      </w:r>
      <w:bookmarkEnd w:id="42"/>
      <w:r w:rsidRPr="00A40217">
        <w:rPr>
          <w:rFonts w:asciiTheme="minorHAnsi" w:hAnsiTheme="minorHAnsi" w:cstheme="minorHAnsi"/>
        </w:rPr>
        <w:t>9: (a) Daily and monthly average PM</w:t>
      </w:r>
      <w:r w:rsidRPr="00A40217">
        <w:rPr>
          <w:rFonts w:asciiTheme="minorHAnsi" w:hAnsiTheme="minorHAnsi" w:cstheme="minorHAnsi"/>
          <w:vertAlign w:val="subscript"/>
        </w:rPr>
        <w:t>2.5</w:t>
      </w:r>
      <w:r w:rsidRPr="00A40217">
        <w:rPr>
          <w:rFonts w:asciiTheme="minorHAnsi" w:hAnsiTheme="minorHAnsi" w:cstheme="minorHAnsi"/>
        </w:rPr>
        <w:t xml:space="preserve"> concentrations between Jan’12 and Dec’14 (b) Monthly variation in PM</w:t>
      </w:r>
      <w:r w:rsidRPr="00A40217">
        <w:rPr>
          <w:rFonts w:asciiTheme="minorHAnsi" w:hAnsiTheme="minorHAnsi" w:cstheme="minorHAnsi"/>
          <w:vertAlign w:val="subscript"/>
        </w:rPr>
        <w:t>2.5</w:t>
      </w:r>
      <w:r w:rsidRPr="00A40217">
        <w:rPr>
          <w:rFonts w:asciiTheme="minorHAnsi" w:hAnsiTheme="minorHAnsi" w:cstheme="minorHAnsi"/>
        </w:rPr>
        <w:t xml:space="preserve"> concentrations in 2012, 2013, and 2014 (c) Diurnal variation in PM</w:t>
      </w:r>
      <w:r w:rsidRPr="00A40217">
        <w:rPr>
          <w:rFonts w:asciiTheme="minorHAnsi" w:hAnsiTheme="minorHAnsi" w:cstheme="minorHAnsi"/>
          <w:vertAlign w:val="subscript"/>
        </w:rPr>
        <w:t>2.5</w:t>
      </w:r>
      <w:r w:rsidRPr="00A40217">
        <w:rPr>
          <w:rFonts w:asciiTheme="minorHAnsi" w:hAnsiTheme="minorHAnsi" w:cstheme="minorHAnsi"/>
        </w:rPr>
        <w:t xml:space="preserve"> concentrations in 2012, 2013, and 2014. For (b) and (c), the dot represents the mean; box plot represents 25</w:t>
      </w:r>
      <w:r w:rsidRPr="00A40217">
        <w:rPr>
          <w:rFonts w:asciiTheme="minorHAnsi" w:hAnsiTheme="minorHAnsi" w:cstheme="minorHAnsi"/>
          <w:vertAlign w:val="superscript"/>
        </w:rPr>
        <w:t>th</w:t>
      </w:r>
      <w:r w:rsidRPr="00A40217">
        <w:rPr>
          <w:rFonts w:asciiTheme="minorHAnsi" w:hAnsiTheme="minorHAnsi" w:cstheme="minorHAnsi"/>
        </w:rPr>
        <w:t xml:space="preserve"> and 75</w:t>
      </w:r>
      <w:r w:rsidRPr="00A40217">
        <w:rPr>
          <w:rFonts w:asciiTheme="minorHAnsi" w:hAnsiTheme="minorHAnsi" w:cstheme="minorHAnsi"/>
          <w:vertAlign w:val="superscript"/>
        </w:rPr>
        <w:t>th</w:t>
      </w:r>
      <w:r w:rsidRPr="00A40217">
        <w:rPr>
          <w:rFonts w:asciiTheme="minorHAnsi" w:hAnsiTheme="minorHAnsi" w:cstheme="minorHAnsi"/>
        </w:rPr>
        <w:t xml:space="preserve"> percentile, with median at the break; and whiskers represent the 5</w:t>
      </w:r>
      <w:r w:rsidRPr="00A40217">
        <w:rPr>
          <w:rFonts w:asciiTheme="minorHAnsi" w:hAnsiTheme="minorHAnsi" w:cstheme="minorHAnsi"/>
          <w:vertAlign w:val="superscript"/>
        </w:rPr>
        <w:t>th</w:t>
      </w:r>
      <w:r w:rsidRPr="00A40217">
        <w:rPr>
          <w:rFonts w:asciiTheme="minorHAnsi" w:hAnsiTheme="minorHAnsi" w:cstheme="minorHAnsi"/>
        </w:rPr>
        <w:t xml:space="preserve"> and 95</w:t>
      </w:r>
      <w:r w:rsidRPr="00A40217">
        <w:rPr>
          <w:rFonts w:asciiTheme="minorHAnsi" w:hAnsiTheme="minorHAnsi" w:cstheme="minorHAnsi"/>
          <w:vertAlign w:val="superscript"/>
        </w:rPr>
        <w:t>th</w:t>
      </w:r>
      <w:r w:rsidRPr="00A40217">
        <w:rPr>
          <w:rFonts w:asciiTheme="minorHAnsi" w:hAnsiTheme="minorHAnsi" w:cstheme="minorHAnsi"/>
        </w:rPr>
        <w:t xml:space="preserve"> percentile</w:t>
      </w:r>
      <w:bookmarkEnd w:id="43"/>
      <w:r w:rsidRPr="00A40217">
        <w:rPr>
          <w:rFonts w:asciiTheme="minorHAnsi" w:hAnsiTheme="minorHAnsi" w:cstheme="minorHAnsi"/>
        </w:rPr>
        <w:t xml:space="preserve"> </w:t>
      </w:r>
    </w:p>
    <w:p w14:paraId="6C041B2D" w14:textId="77777777" w:rsidR="007C02D1" w:rsidRPr="00A40217" w:rsidRDefault="007C02D1" w:rsidP="007C02D1">
      <w:pPr>
        <w:spacing w:after="0"/>
        <w:rPr>
          <w:rFonts w:cstheme="minorHAnsi"/>
        </w:rPr>
      </w:pPr>
      <w:r w:rsidRPr="00A40217">
        <w:rPr>
          <w:rFonts w:cstheme="minorHAnsi"/>
          <w:noProof/>
          <w:lang w:val="en-GB" w:eastAsia="en-GB"/>
        </w:rPr>
        <w:lastRenderedPageBreak/>
        <w:drawing>
          <wp:inline distT="0" distB="0" distL="0" distR="0" wp14:anchorId="59B8E26B" wp14:editId="24D2FA50">
            <wp:extent cx="5745999" cy="3046730"/>
            <wp:effectExtent l="0" t="0" r="7620" b="1270"/>
            <wp:docPr id="30" name="Picture 3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Map&#10;&#10;Description automatically generated"/>
                    <pic:cNvPicPr/>
                  </pic:nvPicPr>
                  <pic:blipFill>
                    <a:blip r:embed="rId22" cstate="print"/>
                    <a:stretch>
                      <a:fillRect/>
                    </a:stretch>
                  </pic:blipFill>
                  <pic:spPr>
                    <a:xfrm>
                      <a:off x="0" y="0"/>
                      <a:ext cx="5745999" cy="3046730"/>
                    </a:xfrm>
                    <a:prstGeom prst="rect">
                      <a:avLst/>
                    </a:prstGeom>
                  </pic:spPr>
                </pic:pic>
              </a:graphicData>
            </a:graphic>
          </wp:inline>
        </w:drawing>
      </w:r>
    </w:p>
    <w:p w14:paraId="74938096" w14:textId="75CB7BC3" w:rsidR="007C02D1" w:rsidRPr="00A40217" w:rsidRDefault="007C02D1" w:rsidP="007C02D1">
      <w:pPr>
        <w:pStyle w:val="Caption"/>
        <w:jc w:val="center"/>
        <w:rPr>
          <w:rFonts w:asciiTheme="minorHAnsi" w:hAnsiTheme="minorHAnsi" w:cstheme="minorHAnsi"/>
        </w:rPr>
      </w:pPr>
      <w:bookmarkStart w:id="44" w:name="_Ref426460367"/>
      <w:bookmarkStart w:id="45" w:name="_Toc476818690"/>
      <w:r w:rsidRPr="00A40217">
        <w:rPr>
          <w:rFonts w:asciiTheme="minorHAnsi" w:hAnsiTheme="minorHAnsi" w:cstheme="minorHAnsi"/>
        </w:rPr>
        <w:t>Figure</w:t>
      </w:r>
      <w:bookmarkEnd w:id="44"/>
      <w:r w:rsidRPr="00A40217">
        <w:rPr>
          <w:rFonts w:asciiTheme="minorHAnsi" w:hAnsiTheme="minorHAnsi" w:cstheme="minorHAnsi"/>
        </w:rPr>
        <w:t xml:space="preserve"> 10: DPCC ambient air quality monitoring stations and on-road pollution exposure study route</w:t>
      </w:r>
      <w:bookmarkEnd w:id="45"/>
      <w:r w:rsidR="003755C9">
        <w:rPr>
          <w:rFonts w:asciiTheme="minorHAnsi" w:hAnsiTheme="minorHAnsi" w:cstheme="minorHAnsi"/>
        </w:rPr>
        <w:t xml:space="preserve"> used in Goel et al. (2015)</w:t>
      </w:r>
    </w:p>
    <w:p w14:paraId="615382A9" w14:textId="77777777" w:rsidR="0058758F" w:rsidRPr="00A40217" w:rsidRDefault="0058758F" w:rsidP="00143D29">
      <w:pPr>
        <w:pStyle w:val="Heading3"/>
        <w:spacing w:after="0"/>
        <w:rPr>
          <w:rFonts w:asciiTheme="minorHAnsi" w:hAnsiTheme="minorHAnsi" w:cstheme="minorHAnsi"/>
        </w:rPr>
      </w:pPr>
      <w:bookmarkStart w:id="46" w:name="_Toc477776543"/>
      <w:bookmarkStart w:id="47" w:name="_Toc85106187"/>
      <w:r w:rsidRPr="00A40217">
        <w:rPr>
          <w:rFonts w:asciiTheme="minorHAnsi" w:hAnsiTheme="minorHAnsi" w:cstheme="minorHAnsi"/>
        </w:rPr>
        <w:t>Multi-Pollutant Emission Inventory</w:t>
      </w:r>
      <w:bookmarkEnd w:id="46"/>
      <w:bookmarkEnd w:id="47"/>
    </w:p>
    <w:p w14:paraId="5BC87B76" w14:textId="7A267FF9" w:rsidR="0058758F" w:rsidRPr="00A40217" w:rsidRDefault="007C02D1" w:rsidP="0058758F">
      <w:pPr>
        <w:rPr>
          <w:rFonts w:cstheme="minorHAnsi"/>
        </w:rPr>
      </w:pPr>
      <w:r w:rsidRPr="00A40217">
        <w:rPr>
          <w:rFonts w:cstheme="minorHAnsi"/>
        </w:rPr>
        <w:t xml:space="preserve">Table 7 </w:t>
      </w:r>
      <w:r w:rsidR="0058758F" w:rsidRPr="00A40217">
        <w:rPr>
          <w:rFonts w:cstheme="minorHAnsi"/>
        </w:rPr>
        <w:t>presents multi-pollutant annual emission inventory for 2014, classified by different sectors. PM</w:t>
      </w:r>
      <w:r w:rsidR="0058758F" w:rsidRPr="00A40217">
        <w:rPr>
          <w:rFonts w:cstheme="minorHAnsi"/>
          <w:vertAlign w:val="subscript"/>
        </w:rPr>
        <w:t>2.5</w:t>
      </w:r>
      <w:r w:rsidR="0058758F" w:rsidRPr="00A40217">
        <w:rPr>
          <w:rFonts w:cstheme="minorHAnsi"/>
        </w:rPr>
        <w:t xml:space="preserve"> emissions are contributed by several sectors, with no single sector as a major contributor. Vehicles, industries, brick kilns, gensets, waste burning, and power plants, have a share of more than 10%.  SO</w:t>
      </w:r>
      <w:r w:rsidR="0058758F" w:rsidRPr="00A40217">
        <w:rPr>
          <w:rFonts w:cstheme="minorHAnsi"/>
          <w:vertAlign w:val="subscript"/>
        </w:rPr>
        <w:t>2</w:t>
      </w:r>
      <w:r w:rsidR="0058758F" w:rsidRPr="00A40217">
        <w:rPr>
          <w:rFonts w:cstheme="minorHAnsi"/>
        </w:rPr>
        <w:t xml:space="preserve"> emissions from vehicles is only 2%, which is due to the reduction of fuel sulphur content over time. Vehicles are a major contributor of NO</w:t>
      </w:r>
      <w:r w:rsidR="0058758F" w:rsidRPr="00A40217">
        <w:rPr>
          <w:rFonts w:cstheme="minorHAnsi"/>
          <w:vertAlign w:val="subscript"/>
        </w:rPr>
        <w:t>x</w:t>
      </w:r>
      <w:r w:rsidR="0058758F" w:rsidRPr="00A40217">
        <w:rPr>
          <w:rFonts w:cstheme="minorHAnsi"/>
        </w:rPr>
        <w:t xml:space="preserve"> as well as VOC emissions, contributing more than one-third and more than one-fourth of total emissions, respectively. </w:t>
      </w:r>
    </w:p>
    <w:p w14:paraId="3535578D" w14:textId="220234C5" w:rsidR="0058758F" w:rsidRPr="00A40217" w:rsidRDefault="0058758F" w:rsidP="0058758F">
      <w:pPr>
        <w:pStyle w:val="Caption"/>
        <w:keepNext/>
        <w:jc w:val="center"/>
        <w:rPr>
          <w:rFonts w:asciiTheme="minorHAnsi" w:hAnsiTheme="minorHAnsi" w:cstheme="minorHAnsi"/>
        </w:rPr>
      </w:pPr>
      <w:bookmarkStart w:id="48" w:name="_Ref427163577"/>
      <w:bookmarkStart w:id="49" w:name="_Toc476818664"/>
      <w:r w:rsidRPr="00A40217">
        <w:rPr>
          <w:rFonts w:asciiTheme="minorHAnsi" w:hAnsiTheme="minorHAnsi" w:cstheme="minorHAnsi"/>
        </w:rPr>
        <w:t xml:space="preserve">Table </w:t>
      </w:r>
      <w:bookmarkEnd w:id="48"/>
      <w:r w:rsidR="007C02D1" w:rsidRPr="00A40217">
        <w:rPr>
          <w:rFonts w:asciiTheme="minorHAnsi" w:hAnsiTheme="minorHAnsi" w:cstheme="minorHAnsi"/>
        </w:rPr>
        <w:t>7</w:t>
      </w:r>
      <w:r w:rsidRPr="00A40217">
        <w:rPr>
          <w:rFonts w:asciiTheme="minorHAnsi" w:hAnsiTheme="minorHAnsi" w:cstheme="minorHAnsi"/>
        </w:rPr>
        <w:t>: Total and Sector-specific Shares of Emissions for Year 2014</w:t>
      </w:r>
      <w:bookmarkEnd w:id="49"/>
    </w:p>
    <w:tbl>
      <w:tblPr>
        <w:tblW w:w="8100" w:type="dxa"/>
        <w:jc w:val="center"/>
        <w:tblLook w:val="04A0" w:firstRow="1" w:lastRow="0" w:firstColumn="1" w:lastColumn="0" w:noHBand="0" w:noVBand="1"/>
      </w:tblPr>
      <w:tblGrid>
        <w:gridCol w:w="2140"/>
        <w:gridCol w:w="876"/>
        <w:gridCol w:w="996"/>
        <w:gridCol w:w="920"/>
        <w:gridCol w:w="996"/>
        <w:gridCol w:w="1176"/>
        <w:gridCol w:w="996"/>
      </w:tblGrid>
      <w:tr w:rsidR="0058758F" w:rsidRPr="00A40217" w14:paraId="06AA0556" w14:textId="77777777" w:rsidTr="00F02FAB">
        <w:trPr>
          <w:trHeight w:hRule="exact" w:val="288"/>
          <w:jc w:val="center"/>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6C9576" w14:textId="77777777" w:rsidR="0058758F" w:rsidRPr="00A40217" w:rsidRDefault="0058758F" w:rsidP="00F02FAB">
            <w:pPr>
              <w:spacing w:after="0"/>
              <w:rPr>
                <w:rFonts w:cstheme="minorHAnsi"/>
                <w:b/>
              </w:rPr>
            </w:pPr>
            <w:r w:rsidRPr="00A40217">
              <w:rPr>
                <w:rFonts w:cstheme="minorHAnsi"/>
                <w:b/>
              </w:rPr>
              <w:t>Sector</w:t>
            </w:r>
          </w:p>
        </w:tc>
        <w:tc>
          <w:tcPr>
            <w:tcW w:w="876" w:type="dxa"/>
            <w:tcBorders>
              <w:top w:val="single" w:sz="4" w:space="0" w:color="auto"/>
              <w:left w:val="nil"/>
              <w:bottom w:val="single" w:sz="4" w:space="0" w:color="auto"/>
              <w:right w:val="single" w:sz="4" w:space="0" w:color="auto"/>
            </w:tcBorders>
            <w:shd w:val="clear" w:color="auto" w:fill="auto"/>
            <w:noWrap/>
            <w:vAlign w:val="bottom"/>
            <w:hideMark/>
          </w:tcPr>
          <w:p w14:paraId="12AEB686" w14:textId="77777777" w:rsidR="0058758F" w:rsidRPr="00A40217" w:rsidRDefault="0058758F" w:rsidP="00F02FAB">
            <w:pPr>
              <w:spacing w:after="0"/>
              <w:jc w:val="right"/>
              <w:rPr>
                <w:rFonts w:cstheme="minorHAnsi"/>
                <w:b/>
              </w:rPr>
            </w:pPr>
            <w:r w:rsidRPr="00A40217">
              <w:rPr>
                <w:rFonts w:cstheme="minorHAnsi"/>
                <w:b/>
              </w:rPr>
              <w:t>PM</w:t>
            </w:r>
            <w:r w:rsidRPr="00A40217">
              <w:rPr>
                <w:rFonts w:cstheme="minorHAnsi"/>
                <w:b/>
                <w:vertAlign w:val="subscript"/>
              </w:rPr>
              <w:t>2.5</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14:paraId="539CE04F" w14:textId="77777777" w:rsidR="0058758F" w:rsidRPr="00A40217" w:rsidRDefault="0058758F" w:rsidP="00F02FAB">
            <w:pPr>
              <w:spacing w:after="0"/>
              <w:jc w:val="right"/>
              <w:rPr>
                <w:rFonts w:cstheme="minorHAnsi"/>
                <w:b/>
              </w:rPr>
            </w:pPr>
            <w:r w:rsidRPr="00A40217">
              <w:rPr>
                <w:rFonts w:cstheme="minorHAnsi"/>
                <w:b/>
              </w:rPr>
              <w:t>PM</w:t>
            </w:r>
            <w:r w:rsidRPr="00A40217">
              <w:rPr>
                <w:rFonts w:cstheme="minorHAnsi"/>
                <w:b/>
                <w:vertAlign w:val="subscript"/>
              </w:rPr>
              <w:t>10</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4456284A" w14:textId="77777777" w:rsidR="0058758F" w:rsidRPr="00A40217" w:rsidRDefault="0058758F" w:rsidP="00F02FAB">
            <w:pPr>
              <w:spacing w:after="0"/>
              <w:jc w:val="right"/>
              <w:rPr>
                <w:rFonts w:cstheme="minorHAnsi"/>
                <w:b/>
              </w:rPr>
            </w:pPr>
            <w:r w:rsidRPr="00A40217">
              <w:rPr>
                <w:rFonts w:cstheme="minorHAnsi"/>
                <w:b/>
              </w:rPr>
              <w:t>SO</w:t>
            </w:r>
            <w:r w:rsidRPr="00A40217">
              <w:rPr>
                <w:rFonts w:cstheme="minorHAnsi"/>
                <w:b/>
                <w:vertAlign w:val="subscript"/>
              </w:rPr>
              <w:t>2</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14:paraId="385486CF" w14:textId="77777777" w:rsidR="0058758F" w:rsidRPr="00A40217" w:rsidRDefault="0058758F" w:rsidP="00F02FAB">
            <w:pPr>
              <w:spacing w:after="0"/>
              <w:jc w:val="right"/>
              <w:rPr>
                <w:rFonts w:cstheme="minorHAnsi"/>
                <w:b/>
              </w:rPr>
            </w:pPr>
            <w:r w:rsidRPr="00A40217">
              <w:rPr>
                <w:rFonts w:cstheme="minorHAnsi"/>
                <w:b/>
              </w:rPr>
              <w:t>NO</w:t>
            </w:r>
            <w:r w:rsidRPr="00A40217">
              <w:rPr>
                <w:rFonts w:cstheme="minorHAnsi"/>
                <w:b/>
                <w:vertAlign w:val="subscript"/>
              </w:rPr>
              <w:t>x</w:t>
            </w:r>
          </w:p>
        </w:tc>
        <w:tc>
          <w:tcPr>
            <w:tcW w:w="1176" w:type="dxa"/>
            <w:tcBorders>
              <w:top w:val="single" w:sz="4" w:space="0" w:color="auto"/>
              <w:left w:val="nil"/>
              <w:bottom w:val="single" w:sz="4" w:space="0" w:color="auto"/>
              <w:right w:val="single" w:sz="4" w:space="0" w:color="auto"/>
            </w:tcBorders>
            <w:shd w:val="clear" w:color="auto" w:fill="auto"/>
            <w:noWrap/>
            <w:vAlign w:val="bottom"/>
            <w:hideMark/>
          </w:tcPr>
          <w:p w14:paraId="1DC48A91" w14:textId="77777777" w:rsidR="0058758F" w:rsidRPr="00A40217" w:rsidRDefault="0058758F" w:rsidP="00F02FAB">
            <w:pPr>
              <w:spacing w:after="0"/>
              <w:jc w:val="right"/>
              <w:rPr>
                <w:rFonts w:cstheme="minorHAnsi"/>
                <w:b/>
              </w:rPr>
            </w:pPr>
            <w:r w:rsidRPr="00A40217">
              <w:rPr>
                <w:rFonts w:cstheme="minorHAnsi"/>
                <w:b/>
              </w:rPr>
              <w:t>CO</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14:paraId="1804AE93" w14:textId="77777777" w:rsidR="0058758F" w:rsidRPr="00A40217" w:rsidRDefault="0058758F" w:rsidP="00F02FAB">
            <w:pPr>
              <w:spacing w:after="0"/>
              <w:jc w:val="right"/>
              <w:rPr>
                <w:rFonts w:cstheme="minorHAnsi"/>
                <w:b/>
              </w:rPr>
            </w:pPr>
            <w:r w:rsidRPr="00A40217">
              <w:rPr>
                <w:rFonts w:cstheme="minorHAnsi"/>
                <w:b/>
              </w:rPr>
              <w:t>VOC</w:t>
            </w:r>
          </w:p>
        </w:tc>
      </w:tr>
      <w:tr w:rsidR="0058758F" w:rsidRPr="00A40217" w14:paraId="7A7328BB" w14:textId="77777777" w:rsidTr="00F02FAB">
        <w:trPr>
          <w:trHeight w:hRule="exact" w:val="288"/>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439B761B" w14:textId="77777777" w:rsidR="0058758F" w:rsidRPr="00A40217" w:rsidRDefault="0058758F" w:rsidP="00F02FAB">
            <w:pPr>
              <w:spacing w:after="0"/>
              <w:rPr>
                <w:rFonts w:cstheme="minorHAnsi"/>
              </w:rPr>
            </w:pPr>
            <w:r w:rsidRPr="00A40217">
              <w:rPr>
                <w:rFonts w:cstheme="minorHAnsi"/>
              </w:rPr>
              <w:t>Vehicular Exhaust</w:t>
            </w:r>
          </w:p>
        </w:tc>
        <w:tc>
          <w:tcPr>
            <w:tcW w:w="876" w:type="dxa"/>
            <w:tcBorders>
              <w:top w:val="nil"/>
              <w:left w:val="nil"/>
              <w:bottom w:val="single" w:sz="4" w:space="0" w:color="auto"/>
              <w:right w:val="single" w:sz="4" w:space="0" w:color="auto"/>
            </w:tcBorders>
            <w:shd w:val="clear" w:color="auto" w:fill="auto"/>
            <w:noWrap/>
            <w:vAlign w:val="bottom"/>
            <w:hideMark/>
          </w:tcPr>
          <w:p w14:paraId="3E0EB6AF" w14:textId="77777777" w:rsidR="0058758F" w:rsidRPr="00A40217" w:rsidRDefault="0058758F" w:rsidP="00F02FAB">
            <w:pPr>
              <w:spacing w:after="0"/>
              <w:jc w:val="right"/>
              <w:rPr>
                <w:rFonts w:cstheme="minorHAnsi"/>
              </w:rPr>
            </w:pPr>
            <w:r w:rsidRPr="00A40217">
              <w:rPr>
                <w:rFonts w:cstheme="minorHAnsi"/>
              </w:rPr>
              <w:t>15%</w:t>
            </w:r>
          </w:p>
        </w:tc>
        <w:tc>
          <w:tcPr>
            <w:tcW w:w="996" w:type="dxa"/>
            <w:tcBorders>
              <w:top w:val="nil"/>
              <w:left w:val="nil"/>
              <w:bottom w:val="single" w:sz="4" w:space="0" w:color="auto"/>
              <w:right w:val="single" w:sz="4" w:space="0" w:color="auto"/>
            </w:tcBorders>
            <w:shd w:val="clear" w:color="auto" w:fill="auto"/>
            <w:noWrap/>
            <w:vAlign w:val="bottom"/>
            <w:hideMark/>
          </w:tcPr>
          <w:p w14:paraId="55833F59" w14:textId="77777777" w:rsidR="0058758F" w:rsidRPr="00A40217" w:rsidRDefault="0058758F" w:rsidP="00F02FAB">
            <w:pPr>
              <w:spacing w:after="0"/>
              <w:jc w:val="right"/>
              <w:rPr>
                <w:rFonts w:cstheme="minorHAnsi"/>
              </w:rPr>
            </w:pPr>
            <w:r w:rsidRPr="00A40217">
              <w:rPr>
                <w:rFonts w:cstheme="minorHAnsi"/>
              </w:rPr>
              <w:t>10%</w:t>
            </w:r>
          </w:p>
        </w:tc>
        <w:tc>
          <w:tcPr>
            <w:tcW w:w="920" w:type="dxa"/>
            <w:tcBorders>
              <w:top w:val="nil"/>
              <w:left w:val="nil"/>
              <w:bottom w:val="single" w:sz="4" w:space="0" w:color="auto"/>
              <w:right w:val="single" w:sz="4" w:space="0" w:color="auto"/>
            </w:tcBorders>
            <w:shd w:val="clear" w:color="auto" w:fill="auto"/>
            <w:noWrap/>
            <w:vAlign w:val="bottom"/>
            <w:hideMark/>
          </w:tcPr>
          <w:p w14:paraId="27222920" w14:textId="77777777" w:rsidR="0058758F" w:rsidRPr="00A40217" w:rsidRDefault="0058758F" w:rsidP="00F02FAB">
            <w:pPr>
              <w:spacing w:after="0"/>
              <w:jc w:val="right"/>
              <w:rPr>
                <w:rFonts w:cstheme="minorHAnsi"/>
              </w:rPr>
            </w:pPr>
            <w:r w:rsidRPr="00A40217">
              <w:rPr>
                <w:rFonts w:cstheme="minorHAnsi"/>
              </w:rPr>
              <w:t>2%</w:t>
            </w:r>
          </w:p>
        </w:tc>
        <w:tc>
          <w:tcPr>
            <w:tcW w:w="996" w:type="dxa"/>
            <w:tcBorders>
              <w:top w:val="nil"/>
              <w:left w:val="nil"/>
              <w:bottom w:val="single" w:sz="4" w:space="0" w:color="auto"/>
              <w:right w:val="single" w:sz="4" w:space="0" w:color="auto"/>
            </w:tcBorders>
            <w:shd w:val="clear" w:color="auto" w:fill="auto"/>
            <w:noWrap/>
            <w:vAlign w:val="bottom"/>
            <w:hideMark/>
          </w:tcPr>
          <w:p w14:paraId="64908AC3" w14:textId="77777777" w:rsidR="0058758F" w:rsidRPr="00A40217" w:rsidRDefault="0058758F" w:rsidP="00F02FAB">
            <w:pPr>
              <w:spacing w:after="0"/>
              <w:jc w:val="right"/>
              <w:rPr>
                <w:rFonts w:cstheme="minorHAnsi"/>
              </w:rPr>
            </w:pPr>
            <w:r w:rsidRPr="00A40217">
              <w:rPr>
                <w:rFonts w:cstheme="minorHAnsi"/>
              </w:rPr>
              <w:t>35%</w:t>
            </w:r>
          </w:p>
        </w:tc>
        <w:tc>
          <w:tcPr>
            <w:tcW w:w="1176" w:type="dxa"/>
            <w:tcBorders>
              <w:top w:val="nil"/>
              <w:left w:val="nil"/>
              <w:bottom w:val="single" w:sz="4" w:space="0" w:color="auto"/>
              <w:right w:val="single" w:sz="4" w:space="0" w:color="auto"/>
            </w:tcBorders>
            <w:shd w:val="clear" w:color="auto" w:fill="auto"/>
            <w:noWrap/>
            <w:vAlign w:val="bottom"/>
            <w:hideMark/>
          </w:tcPr>
          <w:p w14:paraId="18284863" w14:textId="77777777" w:rsidR="0058758F" w:rsidRPr="00A40217" w:rsidRDefault="0058758F" w:rsidP="00F02FAB">
            <w:pPr>
              <w:spacing w:after="0"/>
              <w:jc w:val="right"/>
              <w:rPr>
                <w:rFonts w:cstheme="minorHAnsi"/>
              </w:rPr>
            </w:pPr>
            <w:r w:rsidRPr="00A40217">
              <w:rPr>
                <w:rFonts w:cstheme="minorHAnsi"/>
              </w:rPr>
              <w:t>18%</w:t>
            </w:r>
          </w:p>
        </w:tc>
        <w:tc>
          <w:tcPr>
            <w:tcW w:w="996" w:type="dxa"/>
            <w:tcBorders>
              <w:top w:val="nil"/>
              <w:left w:val="nil"/>
              <w:bottom w:val="single" w:sz="4" w:space="0" w:color="auto"/>
              <w:right w:val="single" w:sz="4" w:space="0" w:color="auto"/>
            </w:tcBorders>
            <w:shd w:val="clear" w:color="auto" w:fill="auto"/>
            <w:noWrap/>
            <w:vAlign w:val="bottom"/>
            <w:hideMark/>
          </w:tcPr>
          <w:p w14:paraId="5C6DC6DE" w14:textId="77777777" w:rsidR="0058758F" w:rsidRPr="00A40217" w:rsidRDefault="0058758F" w:rsidP="00F02FAB">
            <w:pPr>
              <w:spacing w:after="0"/>
              <w:jc w:val="right"/>
              <w:rPr>
                <w:rFonts w:cstheme="minorHAnsi"/>
              </w:rPr>
            </w:pPr>
            <w:r w:rsidRPr="00A40217">
              <w:rPr>
                <w:rFonts w:cstheme="minorHAnsi"/>
              </w:rPr>
              <w:t>26%</w:t>
            </w:r>
          </w:p>
        </w:tc>
      </w:tr>
      <w:tr w:rsidR="0058758F" w:rsidRPr="00A40217" w14:paraId="5947411F" w14:textId="77777777" w:rsidTr="00F02FAB">
        <w:trPr>
          <w:trHeight w:hRule="exact" w:val="288"/>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2EEE9854" w14:textId="77777777" w:rsidR="0058758F" w:rsidRPr="00A40217" w:rsidRDefault="0058758F" w:rsidP="00F02FAB">
            <w:pPr>
              <w:spacing w:after="0"/>
              <w:rPr>
                <w:rFonts w:cstheme="minorHAnsi"/>
              </w:rPr>
            </w:pPr>
            <w:r w:rsidRPr="00A40217">
              <w:rPr>
                <w:rFonts w:cstheme="minorHAnsi"/>
              </w:rPr>
              <w:t>Road Dust</w:t>
            </w:r>
          </w:p>
        </w:tc>
        <w:tc>
          <w:tcPr>
            <w:tcW w:w="876" w:type="dxa"/>
            <w:tcBorders>
              <w:top w:val="nil"/>
              <w:left w:val="nil"/>
              <w:bottom w:val="single" w:sz="4" w:space="0" w:color="auto"/>
              <w:right w:val="single" w:sz="4" w:space="0" w:color="auto"/>
            </w:tcBorders>
            <w:shd w:val="clear" w:color="auto" w:fill="auto"/>
            <w:noWrap/>
            <w:vAlign w:val="bottom"/>
            <w:hideMark/>
          </w:tcPr>
          <w:p w14:paraId="125694E0" w14:textId="77777777" w:rsidR="0058758F" w:rsidRPr="00A40217" w:rsidRDefault="0058758F" w:rsidP="00F02FAB">
            <w:pPr>
              <w:spacing w:after="0"/>
              <w:jc w:val="right"/>
              <w:rPr>
                <w:rFonts w:cstheme="minorHAnsi"/>
              </w:rPr>
            </w:pPr>
            <w:r w:rsidRPr="00A40217">
              <w:rPr>
                <w:rFonts w:cstheme="minorHAnsi"/>
              </w:rPr>
              <w:t>8%</w:t>
            </w:r>
          </w:p>
        </w:tc>
        <w:tc>
          <w:tcPr>
            <w:tcW w:w="996" w:type="dxa"/>
            <w:tcBorders>
              <w:top w:val="nil"/>
              <w:left w:val="nil"/>
              <w:bottom w:val="single" w:sz="4" w:space="0" w:color="auto"/>
              <w:right w:val="single" w:sz="4" w:space="0" w:color="auto"/>
            </w:tcBorders>
            <w:shd w:val="clear" w:color="auto" w:fill="auto"/>
            <w:noWrap/>
            <w:vAlign w:val="bottom"/>
            <w:hideMark/>
          </w:tcPr>
          <w:p w14:paraId="1E9A1E5C" w14:textId="77777777" w:rsidR="0058758F" w:rsidRPr="00A40217" w:rsidRDefault="0058758F" w:rsidP="00F02FAB">
            <w:pPr>
              <w:spacing w:after="0"/>
              <w:jc w:val="right"/>
              <w:rPr>
                <w:rFonts w:cstheme="minorHAnsi"/>
              </w:rPr>
            </w:pPr>
            <w:r w:rsidRPr="00A40217">
              <w:rPr>
                <w:rFonts w:cstheme="minorHAnsi"/>
              </w:rPr>
              <w:t>18%</w:t>
            </w:r>
          </w:p>
        </w:tc>
        <w:tc>
          <w:tcPr>
            <w:tcW w:w="920" w:type="dxa"/>
            <w:tcBorders>
              <w:top w:val="nil"/>
              <w:left w:val="nil"/>
              <w:bottom w:val="single" w:sz="4" w:space="0" w:color="auto"/>
              <w:right w:val="single" w:sz="4" w:space="0" w:color="auto"/>
            </w:tcBorders>
            <w:shd w:val="clear" w:color="auto" w:fill="auto"/>
            <w:noWrap/>
            <w:vAlign w:val="bottom"/>
            <w:hideMark/>
          </w:tcPr>
          <w:p w14:paraId="198B5FC1" w14:textId="77777777" w:rsidR="0058758F" w:rsidRPr="00A40217" w:rsidRDefault="0058758F" w:rsidP="00F02FAB">
            <w:pPr>
              <w:spacing w:after="0"/>
              <w:jc w:val="right"/>
              <w:rPr>
                <w:rFonts w:cstheme="minorHAnsi"/>
              </w:rPr>
            </w:pPr>
            <w:r w:rsidRPr="00A40217">
              <w:rPr>
                <w:rFonts w:cstheme="minorHAnsi"/>
              </w:rPr>
              <w:t> -</w:t>
            </w:r>
          </w:p>
        </w:tc>
        <w:tc>
          <w:tcPr>
            <w:tcW w:w="996" w:type="dxa"/>
            <w:tcBorders>
              <w:top w:val="nil"/>
              <w:left w:val="nil"/>
              <w:bottom w:val="single" w:sz="4" w:space="0" w:color="auto"/>
              <w:right w:val="single" w:sz="4" w:space="0" w:color="auto"/>
            </w:tcBorders>
            <w:shd w:val="clear" w:color="auto" w:fill="auto"/>
            <w:noWrap/>
            <w:vAlign w:val="bottom"/>
            <w:hideMark/>
          </w:tcPr>
          <w:p w14:paraId="12E528A9" w14:textId="77777777" w:rsidR="0058758F" w:rsidRPr="00A40217" w:rsidRDefault="0058758F" w:rsidP="00F02FAB">
            <w:pPr>
              <w:spacing w:after="0"/>
              <w:jc w:val="right"/>
              <w:rPr>
                <w:rFonts w:cstheme="minorHAnsi"/>
              </w:rPr>
            </w:pPr>
            <w:r w:rsidRPr="00A40217">
              <w:rPr>
                <w:rFonts w:cstheme="minorHAnsi"/>
              </w:rPr>
              <w:t> -</w:t>
            </w:r>
          </w:p>
        </w:tc>
        <w:tc>
          <w:tcPr>
            <w:tcW w:w="1176" w:type="dxa"/>
            <w:tcBorders>
              <w:top w:val="nil"/>
              <w:left w:val="nil"/>
              <w:bottom w:val="single" w:sz="4" w:space="0" w:color="auto"/>
              <w:right w:val="single" w:sz="4" w:space="0" w:color="auto"/>
            </w:tcBorders>
            <w:shd w:val="clear" w:color="auto" w:fill="auto"/>
            <w:noWrap/>
            <w:vAlign w:val="bottom"/>
            <w:hideMark/>
          </w:tcPr>
          <w:p w14:paraId="7C55A20C" w14:textId="77777777" w:rsidR="0058758F" w:rsidRPr="00A40217" w:rsidRDefault="0058758F" w:rsidP="00F02FAB">
            <w:pPr>
              <w:spacing w:after="0"/>
              <w:jc w:val="right"/>
              <w:rPr>
                <w:rFonts w:cstheme="minorHAnsi"/>
              </w:rPr>
            </w:pPr>
            <w:r w:rsidRPr="00A40217">
              <w:rPr>
                <w:rFonts w:cstheme="minorHAnsi"/>
              </w:rPr>
              <w:t> -</w:t>
            </w:r>
          </w:p>
        </w:tc>
        <w:tc>
          <w:tcPr>
            <w:tcW w:w="996" w:type="dxa"/>
            <w:tcBorders>
              <w:top w:val="nil"/>
              <w:left w:val="nil"/>
              <w:bottom w:val="single" w:sz="4" w:space="0" w:color="auto"/>
              <w:right w:val="single" w:sz="4" w:space="0" w:color="auto"/>
            </w:tcBorders>
            <w:shd w:val="clear" w:color="auto" w:fill="auto"/>
            <w:noWrap/>
            <w:vAlign w:val="bottom"/>
            <w:hideMark/>
          </w:tcPr>
          <w:p w14:paraId="7C36B193" w14:textId="77777777" w:rsidR="0058758F" w:rsidRPr="00A40217" w:rsidRDefault="0058758F" w:rsidP="00F02FAB">
            <w:pPr>
              <w:spacing w:after="0"/>
              <w:jc w:val="right"/>
              <w:rPr>
                <w:rFonts w:cstheme="minorHAnsi"/>
              </w:rPr>
            </w:pPr>
            <w:r w:rsidRPr="00A40217">
              <w:rPr>
                <w:rFonts w:cstheme="minorHAnsi"/>
              </w:rPr>
              <w:t> -</w:t>
            </w:r>
          </w:p>
        </w:tc>
      </w:tr>
      <w:tr w:rsidR="0058758F" w:rsidRPr="00A40217" w14:paraId="7EE30B64" w14:textId="77777777" w:rsidTr="00F02FAB">
        <w:trPr>
          <w:trHeight w:hRule="exact" w:val="288"/>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1D9A31AF" w14:textId="77777777" w:rsidR="0058758F" w:rsidRPr="00A40217" w:rsidRDefault="0058758F" w:rsidP="00F02FAB">
            <w:pPr>
              <w:spacing w:after="0"/>
              <w:rPr>
                <w:rFonts w:cstheme="minorHAnsi"/>
              </w:rPr>
            </w:pPr>
            <w:r w:rsidRPr="00A40217">
              <w:rPr>
                <w:rFonts w:cstheme="minorHAnsi"/>
              </w:rPr>
              <w:t>Domestic</w:t>
            </w:r>
          </w:p>
        </w:tc>
        <w:tc>
          <w:tcPr>
            <w:tcW w:w="876" w:type="dxa"/>
            <w:tcBorders>
              <w:top w:val="nil"/>
              <w:left w:val="nil"/>
              <w:bottom w:val="single" w:sz="4" w:space="0" w:color="auto"/>
              <w:right w:val="single" w:sz="4" w:space="0" w:color="auto"/>
            </w:tcBorders>
            <w:shd w:val="clear" w:color="auto" w:fill="auto"/>
            <w:noWrap/>
            <w:vAlign w:val="bottom"/>
            <w:hideMark/>
          </w:tcPr>
          <w:p w14:paraId="3F70BDDF" w14:textId="77777777" w:rsidR="0058758F" w:rsidRPr="00A40217" w:rsidRDefault="0058758F" w:rsidP="00F02FAB">
            <w:pPr>
              <w:spacing w:after="0"/>
              <w:jc w:val="right"/>
              <w:rPr>
                <w:rFonts w:cstheme="minorHAnsi"/>
              </w:rPr>
            </w:pPr>
            <w:r w:rsidRPr="00A40217">
              <w:rPr>
                <w:rFonts w:cstheme="minorHAnsi"/>
              </w:rPr>
              <w:t>7%</w:t>
            </w:r>
          </w:p>
        </w:tc>
        <w:tc>
          <w:tcPr>
            <w:tcW w:w="996" w:type="dxa"/>
            <w:tcBorders>
              <w:top w:val="nil"/>
              <w:left w:val="nil"/>
              <w:bottom w:val="single" w:sz="4" w:space="0" w:color="auto"/>
              <w:right w:val="single" w:sz="4" w:space="0" w:color="auto"/>
            </w:tcBorders>
            <w:shd w:val="clear" w:color="auto" w:fill="auto"/>
            <w:noWrap/>
            <w:vAlign w:val="bottom"/>
            <w:hideMark/>
          </w:tcPr>
          <w:p w14:paraId="6330EFCC" w14:textId="77777777" w:rsidR="0058758F" w:rsidRPr="00A40217" w:rsidRDefault="0058758F" w:rsidP="00F02FAB">
            <w:pPr>
              <w:spacing w:after="0"/>
              <w:jc w:val="right"/>
              <w:rPr>
                <w:rFonts w:cstheme="minorHAnsi"/>
              </w:rPr>
            </w:pPr>
            <w:r w:rsidRPr="00A40217">
              <w:rPr>
                <w:rFonts w:cstheme="minorHAnsi"/>
              </w:rPr>
              <w:t>5%</w:t>
            </w:r>
          </w:p>
        </w:tc>
        <w:tc>
          <w:tcPr>
            <w:tcW w:w="920" w:type="dxa"/>
            <w:tcBorders>
              <w:top w:val="nil"/>
              <w:left w:val="nil"/>
              <w:bottom w:val="single" w:sz="4" w:space="0" w:color="auto"/>
              <w:right w:val="single" w:sz="4" w:space="0" w:color="auto"/>
            </w:tcBorders>
            <w:shd w:val="clear" w:color="auto" w:fill="auto"/>
            <w:noWrap/>
            <w:vAlign w:val="bottom"/>
            <w:hideMark/>
          </w:tcPr>
          <w:p w14:paraId="676C5281" w14:textId="77777777" w:rsidR="0058758F" w:rsidRPr="00A40217" w:rsidRDefault="0058758F" w:rsidP="00F02FAB">
            <w:pPr>
              <w:spacing w:after="0"/>
              <w:jc w:val="right"/>
              <w:rPr>
                <w:rFonts w:cstheme="minorHAnsi"/>
              </w:rPr>
            </w:pPr>
            <w:r w:rsidRPr="00A40217">
              <w:rPr>
                <w:rFonts w:cstheme="minorHAnsi"/>
              </w:rPr>
              <w:t>4%</w:t>
            </w:r>
          </w:p>
        </w:tc>
        <w:tc>
          <w:tcPr>
            <w:tcW w:w="996" w:type="dxa"/>
            <w:tcBorders>
              <w:top w:val="nil"/>
              <w:left w:val="nil"/>
              <w:bottom w:val="single" w:sz="4" w:space="0" w:color="auto"/>
              <w:right w:val="single" w:sz="4" w:space="0" w:color="auto"/>
            </w:tcBorders>
            <w:shd w:val="clear" w:color="auto" w:fill="auto"/>
            <w:noWrap/>
            <w:vAlign w:val="bottom"/>
            <w:hideMark/>
          </w:tcPr>
          <w:p w14:paraId="41A60032" w14:textId="77777777" w:rsidR="0058758F" w:rsidRPr="00A40217" w:rsidRDefault="0058758F" w:rsidP="00F02FAB">
            <w:pPr>
              <w:spacing w:after="0"/>
              <w:jc w:val="right"/>
              <w:rPr>
                <w:rFonts w:cstheme="minorHAnsi"/>
              </w:rPr>
            </w:pPr>
            <w:r w:rsidRPr="00A40217">
              <w:rPr>
                <w:rFonts w:cstheme="minorHAnsi"/>
              </w:rPr>
              <w:t>0%</w:t>
            </w:r>
          </w:p>
        </w:tc>
        <w:tc>
          <w:tcPr>
            <w:tcW w:w="1176" w:type="dxa"/>
            <w:tcBorders>
              <w:top w:val="nil"/>
              <w:left w:val="nil"/>
              <w:bottom w:val="single" w:sz="4" w:space="0" w:color="auto"/>
              <w:right w:val="single" w:sz="4" w:space="0" w:color="auto"/>
            </w:tcBorders>
            <w:shd w:val="clear" w:color="auto" w:fill="auto"/>
            <w:noWrap/>
            <w:vAlign w:val="bottom"/>
            <w:hideMark/>
          </w:tcPr>
          <w:p w14:paraId="18625622" w14:textId="77777777" w:rsidR="0058758F" w:rsidRPr="00A40217" w:rsidRDefault="0058758F" w:rsidP="00F02FAB">
            <w:pPr>
              <w:spacing w:after="0"/>
              <w:jc w:val="right"/>
              <w:rPr>
                <w:rFonts w:cstheme="minorHAnsi"/>
              </w:rPr>
            </w:pPr>
            <w:r w:rsidRPr="00A40217">
              <w:rPr>
                <w:rFonts w:cstheme="minorHAnsi"/>
              </w:rPr>
              <w:t>8%</w:t>
            </w:r>
          </w:p>
        </w:tc>
        <w:tc>
          <w:tcPr>
            <w:tcW w:w="996" w:type="dxa"/>
            <w:tcBorders>
              <w:top w:val="nil"/>
              <w:left w:val="nil"/>
              <w:bottom w:val="single" w:sz="4" w:space="0" w:color="auto"/>
              <w:right w:val="single" w:sz="4" w:space="0" w:color="auto"/>
            </w:tcBorders>
            <w:shd w:val="clear" w:color="auto" w:fill="auto"/>
            <w:noWrap/>
            <w:vAlign w:val="bottom"/>
            <w:hideMark/>
          </w:tcPr>
          <w:p w14:paraId="0F8F1346" w14:textId="77777777" w:rsidR="0058758F" w:rsidRPr="00A40217" w:rsidRDefault="0058758F" w:rsidP="00F02FAB">
            <w:pPr>
              <w:spacing w:after="0"/>
              <w:jc w:val="right"/>
              <w:rPr>
                <w:rFonts w:cstheme="minorHAnsi"/>
              </w:rPr>
            </w:pPr>
            <w:r w:rsidRPr="00A40217">
              <w:rPr>
                <w:rFonts w:cstheme="minorHAnsi"/>
              </w:rPr>
              <w:t>5%</w:t>
            </w:r>
          </w:p>
        </w:tc>
      </w:tr>
      <w:tr w:rsidR="0058758F" w:rsidRPr="00A40217" w14:paraId="552B653F" w14:textId="77777777" w:rsidTr="00F02FAB">
        <w:trPr>
          <w:trHeight w:hRule="exact" w:val="288"/>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6738E68C" w14:textId="77777777" w:rsidR="0058758F" w:rsidRPr="00A40217" w:rsidRDefault="0058758F" w:rsidP="00F02FAB">
            <w:pPr>
              <w:spacing w:after="0"/>
              <w:rPr>
                <w:rFonts w:cstheme="minorHAnsi"/>
              </w:rPr>
            </w:pPr>
            <w:r w:rsidRPr="00A40217">
              <w:rPr>
                <w:rFonts w:cstheme="minorHAnsi"/>
              </w:rPr>
              <w:t>Gensets</w:t>
            </w:r>
          </w:p>
        </w:tc>
        <w:tc>
          <w:tcPr>
            <w:tcW w:w="876" w:type="dxa"/>
            <w:tcBorders>
              <w:top w:val="nil"/>
              <w:left w:val="nil"/>
              <w:bottom w:val="single" w:sz="4" w:space="0" w:color="auto"/>
              <w:right w:val="single" w:sz="4" w:space="0" w:color="auto"/>
            </w:tcBorders>
            <w:shd w:val="clear" w:color="auto" w:fill="auto"/>
            <w:noWrap/>
            <w:vAlign w:val="bottom"/>
            <w:hideMark/>
          </w:tcPr>
          <w:p w14:paraId="0CF1865E" w14:textId="77777777" w:rsidR="0058758F" w:rsidRPr="00A40217" w:rsidRDefault="0058758F" w:rsidP="00F02FAB">
            <w:pPr>
              <w:spacing w:after="0"/>
              <w:jc w:val="right"/>
              <w:rPr>
                <w:rFonts w:cstheme="minorHAnsi"/>
              </w:rPr>
            </w:pPr>
            <w:r w:rsidRPr="00A40217">
              <w:rPr>
                <w:rFonts w:cstheme="minorHAnsi"/>
              </w:rPr>
              <w:t>11%</w:t>
            </w:r>
          </w:p>
        </w:tc>
        <w:tc>
          <w:tcPr>
            <w:tcW w:w="996" w:type="dxa"/>
            <w:tcBorders>
              <w:top w:val="nil"/>
              <w:left w:val="nil"/>
              <w:bottom w:val="single" w:sz="4" w:space="0" w:color="auto"/>
              <w:right w:val="single" w:sz="4" w:space="0" w:color="auto"/>
            </w:tcBorders>
            <w:shd w:val="clear" w:color="auto" w:fill="auto"/>
            <w:noWrap/>
            <w:vAlign w:val="bottom"/>
            <w:hideMark/>
          </w:tcPr>
          <w:p w14:paraId="28BC8124" w14:textId="77777777" w:rsidR="0058758F" w:rsidRPr="00A40217" w:rsidRDefault="0058758F" w:rsidP="00F02FAB">
            <w:pPr>
              <w:spacing w:after="0"/>
              <w:jc w:val="right"/>
              <w:rPr>
                <w:rFonts w:cstheme="minorHAnsi"/>
              </w:rPr>
            </w:pPr>
            <w:r w:rsidRPr="00A40217">
              <w:rPr>
                <w:rFonts w:cstheme="minorHAnsi"/>
              </w:rPr>
              <w:t>9%</w:t>
            </w:r>
          </w:p>
        </w:tc>
        <w:tc>
          <w:tcPr>
            <w:tcW w:w="920" w:type="dxa"/>
            <w:tcBorders>
              <w:top w:val="nil"/>
              <w:left w:val="nil"/>
              <w:bottom w:val="single" w:sz="4" w:space="0" w:color="auto"/>
              <w:right w:val="single" w:sz="4" w:space="0" w:color="auto"/>
            </w:tcBorders>
            <w:shd w:val="clear" w:color="auto" w:fill="auto"/>
            <w:noWrap/>
            <w:vAlign w:val="bottom"/>
            <w:hideMark/>
          </w:tcPr>
          <w:p w14:paraId="62B3165F" w14:textId="77777777" w:rsidR="0058758F" w:rsidRPr="00A40217" w:rsidRDefault="0058758F" w:rsidP="00F02FAB">
            <w:pPr>
              <w:spacing w:after="0"/>
              <w:jc w:val="right"/>
              <w:rPr>
                <w:rFonts w:cstheme="minorHAnsi"/>
              </w:rPr>
            </w:pPr>
            <w:r w:rsidRPr="00A40217">
              <w:rPr>
                <w:rFonts w:cstheme="minorHAnsi"/>
              </w:rPr>
              <w:t>1%</w:t>
            </w:r>
          </w:p>
        </w:tc>
        <w:tc>
          <w:tcPr>
            <w:tcW w:w="996" w:type="dxa"/>
            <w:tcBorders>
              <w:top w:val="nil"/>
              <w:left w:val="nil"/>
              <w:bottom w:val="single" w:sz="4" w:space="0" w:color="auto"/>
              <w:right w:val="single" w:sz="4" w:space="0" w:color="auto"/>
            </w:tcBorders>
            <w:shd w:val="clear" w:color="auto" w:fill="auto"/>
            <w:noWrap/>
            <w:vAlign w:val="bottom"/>
            <w:hideMark/>
          </w:tcPr>
          <w:p w14:paraId="0B6E219E" w14:textId="77777777" w:rsidR="0058758F" w:rsidRPr="00A40217" w:rsidRDefault="0058758F" w:rsidP="00F02FAB">
            <w:pPr>
              <w:spacing w:after="0"/>
              <w:jc w:val="right"/>
              <w:rPr>
                <w:rFonts w:cstheme="minorHAnsi"/>
              </w:rPr>
            </w:pPr>
            <w:r w:rsidRPr="00A40217">
              <w:rPr>
                <w:rFonts w:cstheme="minorHAnsi"/>
              </w:rPr>
              <w:t>44%</w:t>
            </w:r>
          </w:p>
        </w:tc>
        <w:tc>
          <w:tcPr>
            <w:tcW w:w="1176" w:type="dxa"/>
            <w:tcBorders>
              <w:top w:val="nil"/>
              <w:left w:val="nil"/>
              <w:bottom w:val="single" w:sz="4" w:space="0" w:color="auto"/>
              <w:right w:val="single" w:sz="4" w:space="0" w:color="auto"/>
            </w:tcBorders>
            <w:shd w:val="clear" w:color="auto" w:fill="auto"/>
            <w:noWrap/>
            <w:vAlign w:val="bottom"/>
            <w:hideMark/>
          </w:tcPr>
          <w:p w14:paraId="1B0C5B7B" w14:textId="77777777" w:rsidR="0058758F" w:rsidRPr="00A40217" w:rsidRDefault="0058758F" w:rsidP="00F02FAB">
            <w:pPr>
              <w:spacing w:after="0"/>
              <w:jc w:val="right"/>
              <w:rPr>
                <w:rFonts w:cstheme="minorHAnsi"/>
              </w:rPr>
            </w:pPr>
            <w:r w:rsidRPr="00A40217">
              <w:rPr>
                <w:rFonts w:cstheme="minorHAnsi"/>
              </w:rPr>
              <w:t>13%</w:t>
            </w:r>
          </w:p>
        </w:tc>
        <w:tc>
          <w:tcPr>
            <w:tcW w:w="996" w:type="dxa"/>
            <w:tcBorders>
              <w:top w:val="nil"/>
              <w:left w:val="nil"/>
              <w:bottom w:val="single" w:sz="4" w:space="0" w:color="auto"/>
              <w:right w:val="single" w:sz="4" w:space="0" w:color="auto"/>
            </w:tcBorders>
            <w:shd w:val="clear" w:color="auto" w:fill="auto"/>
            <w:noWrap/>
            <w:vAlign w:val="bottom"/>
            <w:hideMark/>
          </w:tcPr>
          <w:p w14:paraId="441E302F" w14:textId="77777777" w:rsidR="0058758F" w:rsidRPr="00A40217" w:rsidRDefault="0058758F" w:rsidP="00F02FAB">
            <w:pPr>
              <w:spacing w:after="0"/>
              <w:jc w:val="right"/>
              <w:rPr>
                <w:rFonts w:cstheme="minorHAnsi"/>
              </w:rPr>
            </w:pPr>
            <w:r w:rsidRPr="00A40217">
              <w:rPr>
                <w:rFonts w:cstheme="minorHAnsi"/>
              </w:rPr>
              <w:t>33%</w:t>
            </w:r>
          </w:p>
        </w:tc>
      </w:tr>
      <w:tr w:rsidR="0058758F" w:rsidRPr="00A40217" w14:paraId="70CC8E6B" w14:textId="77777777" w:rsidTr="00F02FAB">
        <w:trPr>
          <w:trHeight w:hRule="exact" w:val="288"/>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7CD80A7C" w14:textId="77777777" w:rsidR="0058758F" w:rsidRPr="00A40217" w:rsidRDefault="0058758F" w:rsidP="00F02FAB">
            <w:pPr>
              <w:spacing w:after="0"/>
              <w:rPr>
                <w:rFonts w:cstheme="minorHAnsi"/>
              </w:rPr>
            </w:pPr>
            <w:r w:rsidRPr="00A40217">
              <w:rPr>
                <w:rFonts w:cstheme="minorHAnsi"/>
              </w:rPr>
              <w:t>Brick Kilns</w:t>
            </w:r>
          </w:p>
        </w:tc>
        <w:tc>
          <w:tcPr>
            <w:tcW w:w="876" w:type="dxa"/>
            <w:tcBorders>
              <w:top w:val="nil"/>
              <w:left w:val="nil"/>
              <w:bottom w:val="single" w:sz="4" w:space="0" w:color="auto"/>
              <w:right w:val="single" w:sz="4" w:space="0" w:color="auto"/>
            </w:tcBorders>
            <w:shd w:val="clear" w:color="auto" w:fill="auto"/>
            <w:noWrap/>
            <w:vAlign w:val="bottom"/>
            <w:hideMark/>
          </w:tcPr>
          <w:p w14:paraId="071726C5" w14:textId="77777777" w:rsidR="0058758F" w:rsidRPr="00A40217" w:rsidRDefault="0058758F" w:rsidP="00F02FAB">
            <w:pPr>
              <w:spacing w:after="0"/>
              <w:jc w:val="right"/>
              <w:rPr>
                <w:rFonts w:cstheme="minorHAnsi"/>
              </w:rPr>
            </w:pPr>
            <w:r w:rsidRPr="00A40217">
              <w:rPr>
                <w:rFonts w:cstheme="minorHAnsi"/>
              </w:rPr>
              <w:t>16%</w:t>
            </w:r>
          </w:p>
        </w:tc>
        <w:tc>
          <w:tcPr>
            <w:tcW w:w="996" w:type="dxa"/>
            <w:tcBorders>
              <w:top w:val="nil"/>
              <w:left w:val="nil"/>
              <w:bottom w:val="single" w:sz="4" w:space="0" w:color="auto"/>
              <w:right w:val="single" w:sz="4" w:space="0" w:color="auto"/>
            </w:tcBorders>
            <w:shd w:val="clear" w:color="auto" w:fill="auto"/>
            <w:noWrap/>
            <w:vAlign w:val="bottom"/>
            <w:hideMark/>
          </w:tcPr>
          <w:p w14:paraId="1E370073" w14:textId="77777777" w:rsidR="0058758F" w:rsidRPr="00A40217" w:rsidRDefault="0058758F" w:rsidP="00F02FAB">
            <w:pPr>
              <w:spacing w:after="0"/>
              <w:jc w:val="right"/>
              <w:rPr>
                <w:rFonts w:cstheme="minorHAnsi"/>
              </w:rPr>
            </w:pPr>
            <w:r w:rsidRPr="00A40217">
              <w:rPr>
                <w:rFonts w:cstheme="minorHAnsi"/>
              </w:rPr>
              <w:t>13%</w:t>
            </w:r>
          </w:p>
        </w:tc>
        <w:tc>
          <w:tcPr>
            <w:tcW w:w="920" w:type="dxa"/>
            <w:tcBorders>
              <w:top w:val="nil"/>
              <w:left w:val="nil"/>
              <w:bottom w:val="single" w:sz="4" w:space="0" w:color="auto"/>
              <w:right w:val="single" w:sz="4" w:space="0" w:color="auto"/>
            </w:tcBorders>
            <w:shd w:val="clear" w:color="auto" w:fill="auto"/>
            <w:noWrap/>
            <w:vAlign w:val="bottom"/>
            <w:hideMark/>
          </w:tcPr>
          <w:p w14:paraId="3F190E0D" w14:textId="77777777" w:rsidR="0058758F" w:rsidRPr="00A40217" w:rsidRDefault="0058758F" w:rsidP="00F02FAB">
            <w:pPr>
              <w:spacing w:after="0"/>
              <w:jc w:val="right"/>
              <w:rPr>
                <w:rFonts w:cstheme="minorHAnsi"/>
              </w:rPr>
            </w:pPr>
            <w:r w:rsidRPr="00A40217">
              <w:rPr>
                <w:rFonts w:cstheme="minorHAnsi"/>
              </w:rPr>
              <w:t>15%</w:t>
            </w:r>
          </w:p>
        </w:tc>
        <w:tc>
          <w:tcPr>
            <w:tcW w:w="996" w:type="dxa"/>
            <w:tcBorders>
              <w:top w:val="nil"/>
              <w:left w:val="nil"/>
              <w:bottom w:val="single" w:sz="4" w:space="0" w:color="auto"/>
              <w:right w:val="single" w:sz="4" w:space="0" w:color="auto"/>
            </w:tcBorders>
            <w:shd w:val="clear" w:color="auto" w:fill="auto"/>
            <w:noWrap/>
            <w:vAlign w:val="bottom"/>
            <w:hideMark/>
          </w:tcPr>
          <w:p w14:paraId="3F3CCD22" w14:textId="77777777" w:rsidR="0058758F" w:rsidRPr="00A40217" w:rsidRDefault="0058758F" w:rsidP="00F02FAB">
            <w:pPr>
              <w:spacing w:after="0"/>
              <w:jc w:val="right"/>
              <w:rPr>
                <w:rFonts w:cstheme="minorHAnsi"/>
              </w:rPr>
            </w:pPr>
            <w:r w:rsidRPr="00A40217">
              <w:rPr>
                <w:rFonts w:cstheme="minorHAnsi"/>
              </w:rPr>
              <w:t>2%</w:t>
            </w:r>
          </w:p>
        </w:tc>
        <w:tc>
          <w:tcPr>
            <w:tcW w:w="1176" w:type="dxa"/>
            <w:tcBorders>
              <w:top w:val="nil"/>
              <w:left w:val="nil"/>
              <w:bottom w:val="single" w:sz="4" w:space="0" w:color="auto"/>
              <w:right w:val="single" w:sz="4" w:space="0" w:color="auto"/>
            </w:tcBorders>
            <w:shd w:val="clear" w:color="auto" w:fill="auto"/>
            <w:noWrap/>
            <w:vAlign w:val="bottom"/>
            <w:hideMark/>
          </w:tcPr>
          <w:p w14:paraId="1A9664F9" w14:textId="77777777" w:rsidR="0058758F" w:rsidRPr="00A40217" w:rsidRDefault="0058758F" w:rsidP="00F02FAB">
            <w:pPr>
              <w:spacing w:after="0"/>
              <w:jc w:val="right"/>
              <w:rPr>
                <w:rFonts w:cstheme="minorHAnsi"/>
              </w:rPr>
            </w:pPr>
            <w:r w:rsidRPr="00A40217">
              <w:rPr>
                <w:rFonts w:cstheme="minorHAnsi"/>
              </w:rPr>
              <w:t>15%</w:t>
            </w:r>
          </w:p>
        </w:tc>
        <w:tc>
          <w:tcPr>
            <w:tcW w:w="996" w:type="dxa"/>
            <w:tcBorders>
              <w:top w:val="nil"/>
              <w:left w:val="nil"/>
              <w:bottom w:val="single" w:sz="4" w:space="0" w:color="auto"/>
              <w:right w:val="single" w:sz="4" w:space="0" w:color="auto"/>
            </w:tcBorders>
            <w:shd w:val="clear" w:color="auto" w:fill="auto"/>
            <w:noWrap/>
            <w:vAlign w:val="bottom"/>
            <w:hideMark/>
          </w:tcPr>
          <w:p w14:paraId="16AC7336" w14:textId="77777777" w:rsidR="0058758F" w:rsidRPr="00A40217" w:rsidRDefault="0058758F" w:rsidP="00F02FAB">
            <w:pPr>
              <w:spacing w:after="0"/>
              <w:jc w:val="right"/>
              <w:rPr>
                <w:rFonts w:cstheme="minorHAnsi"/>
              </w:rPr>
            </w:pPr>
            <w:r w:rsidRPr="00A40217">
              <w:rPr>
                <w:rFonts w:cstheme="minorHAnsi"/>
              </w:rPr>
              <w:t>13%</w:t>
            </w:r>
          </w:p>
        </w:tc>
      </w:tr>
      <w:tr w:rsidR="0058758F" w:rsidRPr="00A40217" w14:paraId="4601FADF" w14:textId="77777777" w:rsidTr="00F02FAB">
        <w:trPr>
          <w:trHeight w:hRule="exact" w:val="288"/>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72809ABA" w14:textId="77777777" w:rsidR="0058758F" w:rsidRPr="00A40217" w:rsidRDefault="0058758F" w:rsidP="00F02FAB">
            <w:pPr>
              <w:spacing w:after="0"/>
              <w:rPr>
                <w:rFonts w:cstheme="minorHAnsi"/>
              </w:rPr>
            </w:pPr>
            <w:r w:rsidRPr="00A40217">
              <w:rPr>
                <w:rFonts w:cstheme="minorHAnsi"/>
              </w:rPr>
              <w:t>Industries</w:t>
            </w:r>
          </w:p>
        </w:tc>
        <w:tc>
          <w:tcPr>
            <w:tcW w:w="876" w:type="dxa"/>
            <w:tcBorders>
              <w:top w:val="nil"/>
              <w:left w:val="nil"/>
              <w:bottom w:val="single" w:sz="4" w:space="0" w:color="auto"/>
              <w:right w:val="single" w:sz="4" w:space="0" w:color="auto"/>
            </w:tcBorders>
            <w:shd w:val="clear" w:color="auto" w:fill="auto"/>
            <w:noWrap/>
            <w:vAlign w:val="bottom"/>
            <w:hideMark/>
          </w:tcPr>
          <w:p w14:paraId="4ABCB526" w14:textId="77777777" w:rsidR="0058758F" w:rsidRPr="00A40217" w:rsidRDefault="0058758F" w:rsidP="00F02FAB">
            <w:pPr>
              <w:spacing w:after="0"/>
              <w:jc w:val="right"/>
              <w:rPr>
                <w:rFonts w:cstheme="minorHAnsi"/>
              </w:rPr>
            </w:pPr>
            <w:r w:rsidRPr="00A40217">
              <w:rPr>
                <w:rFonts w:cstheme="minorHAnsi"/>
              </w:rPr>
              <w:t>15%</w:t>
            </w:r>
          </w:p>
        </w:tc>
        <w:tc>
          <w:tcPr>
            <w:tcW w:w="996" w:type="dxa"/>
            <w:tcBorders>
              <w:top w:val="nil"/>
              <w:left w:val="nil"/>
              <w:bottom w:val="single" w:sz="4" w:space="0" w:color="auto"/>
              <w:right w:val="single" w:sz="4" w:space="0" w:color="auto"/>
            </w:tcBorders>
            <w:shd w:val="clear" w:color="auto" w:fill="auto"/>
            <w:noWrap/>
            <w:vAlign w:val="bottom"/>
            <w:hideMark/>
          </w:tcPr>
          <w:p w14:paraId="447E5C14" w14:textId="77777777" w:rsidR="0058758F" w:rsidRPr="00A40217" w:rsidRDefault="0058758F" w:rsidP="00F02FAB">
            <w:pPr>
              <w:spacing w:after="0"/>
              <w:jc w:val="right"/>
              <w:rPr>
                <w:rFonts w:cstheme="minorHAnsi"/>
              </w:rPr>
            </w:pPr>
            <w:r w:rsidRPr="00A40217">
              <w:rPr>
                <w:rFonts w:cstheme="minorHAnsi"/>
              </w:rPr>
              <w:t>13%</w:t>
            </w:r>
          </w:p>
        </w:tc>
        <w:tc>
          <w:tcPr>
            <w:tcW w:w="920" w:type="dxa"/>
            <w:tcBorders>
              <w:top w:val="nil"/>
              <w:left w:val="nil"/>
              <w:bottom w:val="single" w:sz="4" w:space="0" w:color="auto"/>
              <w:right w:val="single" w:sz="4" w:space="0" w:color="auto"/>
            </w:tcBorders>
            <w:shd w:val="clear" w:color="auto" w:fill="auto"/>
            <w:noWrap/>
            <w:vAlign w:val="bottom"/>
            <w:hideMark/>
          </w:tcPr>
          <w:p w14:paraId="3E9F4CF9" w14:textId="77777777" w:rsidR="0058758F" w:rsidRPr="00A40217" w:rsidRDefault="0058758F" w:rsidP="00F02FAB">
            <w:pPr>
              <w:spacing w:after="0"/>
              <w:jc w:val="right"/>
              <w:rPr>
                <w:rFonts w:cstheme="minorHAnsi"/>
              </w:rPr>
            </w:pPr>
            <w:r w:rsidRPr="00A40217">
              <w:rPr>
                <w:rFonts w:cstheme="minorHAnsi"/>
              </w:rPr>
              <w:t>29%</w:t>
            </w:r>
          </w:p>
        </w:tc>
        <w:tc>
          <w:tcPr>
            <w:tcW w:w="996" w:type="dxa"/>
            <w:tcBorders>
              <w:top w:val="nil"/>
              <w:left w:val="nil"/>
              <w:bottom w:val="single" w:sz="4" w:space="0" w:color="auto"/>
              <w:right w:val="single" w:sz="4" w:space="0" w:color="auto"/>
            </w:tcBorders>
            <w:shd w:val="clear" w:color="auto" w:fill="auto"/>
            <w:noWrap/>
            <w:vAlign w:val="bottom"/>
            <w:hideMark/>
          </w:tcPr>
          <w:p w14:paraId="0058C0E8" w14:textId="77777777" w:rsidR="0058758F" w:rsidRPr="00A40217" w:rsidRDefault="0058758F" w:rsidP="00F02FAB">
            <w:pPr>
              <w:spacing w:after="0"/>
              <w:jc w:val="right"/>
              <w:rPr>
                <w:rFonts w:cstheme="minorHAnsi"/>
              </w:rPr>
            </w:pPr>
            <w:r w:rsidRPr="00A40217">
              <w:rPr>
                <w:rFonts w:cstheme="minorHAnsi"/>
              </w:rPr>
              <w:t>11%</w:t>
            </w:r>
          </w:p>
        </w:tc>
        <w:tc>
          <w:tcPr>
            <w:tcW w:w="1176" w:type="dxa"/>
            <w:tcBorders>
              <w:top w:val="nil"/>
              <w:left w:val="nil"/>
              <w:bottom w:val="single" w:sz="4" w:space="0" w:color="auto"/>
              <w:right w:val="single" w:sz="4" w:space="0" w:color="auto"/>
            </w:tcBorders>
            <w:shd w:val="clear" w:color="auto" w:fill="auto"/>
            <w:noWrap/>
            <w:vAlign w:val="bottom"/>
            <w:hideMark/>
          </w:tcPr>
          <w:p w14:paraId="67ED2C97" w14:textId="77777777" w:rsidR="0058758F" w:rsidRPr="00A40217" w:rsidRDefault="0058758F" w:rsidP="00F02FAB">
            <w:pPr>
              <w:spacing w:after="0"/>
              <w:jc w:val="right"/>
              <w:rPr>
                <w:rFonts w:cstheme="minorHAnsi"/>
              </w:rPr>
            </w:pPr>
            <w:r w:rsidRPr="00A40217">
              <w:rPr>
                <w:rFonts w:cstheme="minorHAnsi"/>
              </w:rPr>
              <w:t>17%</w:t>
            </w:r>
          </w:p>
        </w:tc>
        <w:tc>
          <w:tcPr>
            <w:tcW w:w="996" w:type="dxa"/>
            <w:tcBorders>
              <w:top w:val="nil"/>
              <w:left w:val="nil"/>
              <w:bottom w:val="single" w:sz="4" w:space="0" w:color="auto"/>
              <w:right w:val="single" w:sz="4" w:space="0" w:color="auto"/>
            </w:tcBorders>
            <w:shd w:val="clear" w:color="auto" w:fill="auto"/>
            <w:noWrap/>
            <w:vAlign w:val="bottom"/>
            <w:hideMark/>
          </w:tcPr>
          <w:p w14:paraId="10D4926C" w14:textId="77777777" w:rsidR="0058758F" w:rsidRPr="00A40217" w:rsidRDefault="0058758F" w:rsidP="00F02FAB">
            <w:pPr>
              <w:spacing w:after="0"/>
              <w:jc w:val="right"/>
              <w:rPr>
                <w:rFonts w:cstheme="minorHAnsi"/>
              </w:rPr>
            </w:pPr>
            <w:r w:rsidRPr="00A40217">
              <w:rPr>
                <w:rFonts w:cstheme="minorHAnsi"/>
              </w:rPr>
              <w:t>7%</w:t>
            </w:r>
          </w:p>
        </w:tc>
      </w:tr>
      <w:tr w:rsidR="0058758F" w:rsidRPr="00A40217" w14:paraId="551C44B7" w14:textId="77777777" w:rsidTr="00F02FAB">
        <w:trPr>
          <w:trHeight w:hRule="exact" w:val="288"/>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55021B58" w14:textId="77777777" w:rsidR="0058758F" w:rsidRPr="00A40217" w:rsidRDefault="0058758F" w:rsidP="00F02FAB">
            <w:pPr>
              <w:spacing w:after="0"/>
              <w:rPr>
                <w:rFonts w:cstheme="minorHAnsi"/>
              </w:rPr>
            </w:pPr>
            <w:r w:rsidRPr="00A40217">
              <w:rPr>
                <w:rFonts w:cstheme="minorHAnsi"/>
              </w:rPr>
              <w:t>Construction</w:t>
            </w:r>
          </w:p>
        </w:tc>
        <w:tc>
          <w:tcPr>
            <w:tcW w:w="876" w:type="dxa"/>
            <w:tcBorders>
              <w:top w:val="nil"/>
              <w:left w:val="nil"/>
              <w:bottom w:val="single" w:sz="4" w:space="0" w:color="auto"/>
              <w:right w:val="single" w:sz="4" w:space="0" w:color="auto"/>
            </w:tcBorders>
            <w:shd w:val="clear" w:color="auto" w:fill="auto"/>
            <w:noWrap/>
            <w:vAlign w:val="bottom"/>
            <w:hideMark/>
          </w:tcPr>
          <w:p w14:paraId="4CDFF31B" w14:textId="77777777" w:rsidR="0058758F" w:rsidRPr="00A40217" w:rsidRDefault="0058758F" w:rsidP="00F02FAB">
            <w:pPr>
              <w:spacing w:after="0"/>
              <w:jc w:val="right"/>
              <w:rPr>
                <w:rFonts w:cstheme="minorHAnsi"/>
              </w:rPr>
            </w:pPr>
            <w:r w:rsidRPr="00A40217">
              <w:rPr>
                <w:rFonts w:cstheme="minorHAnsi"/>
              </w:rPr>
              <w:t>6%</w:t>
            </w:r>
          </w:p>
        </w:tc>
        <w:tc>
          <w:tcPr>
            <w:tcW w:w="996" w:type="dxa"/>
            <w:tcBorders>
              <w:top w:val="nil"/>
              <w:left w:val="nil"/>
              <w:bottom w:val="single" w:sz="4" w:space="0" w:color="auto"/>
              <w:right w:val="single" w:sz="4" w:space="0" w:color="auto"/>
            </w:tcBorders>
            <w:shd w:val="clear" w:color="auto" w:fill="auto"/>
            <w:noWrap/>
            <w:vAlign w:val="bottom"/>
            <w:hideMark/>
          </w:tcPr>
          <w:p w14:paraId="467E417A" w14:textId="77777777" w:rsidR="0058758F" w:rsidRPr="00A40217" w:rsidRDefault="0058758F" w:rsidP="00F02FAB">
            <w:pPr>
              <w:spacing w:after="0"/>
              <w:jc w:val="right"/>
              <w:rPr>
                <w:rFonts w:cstheme="minorHAnsi"/>
              </w:rPr>
            </w:pPr>
            <w:r w:rsidRPr="00A40217">
              <w:rPr>
                <w:rFonts w:cstheme="minorHAnsi"/>
              </w:rPr>
              <w:t>12%</w:t>
            </w:r>
          </w:p>
        </w:tc>
        <w:tc>
          <w:tcPr>
            <w:tcW w:w="920" w:type="dxa"/>
            <w:tcBorders>
              <w:top w:val="nil"/>
              <w:left w:val="nil"/>
              <w:bottom w:val="single" w:sz="4" w:space="0" w:color="auto"/>
              <w:right w:val="single" w:sz="4" w:space="0" w:color="auto"/>
            </w:tcBorders>
            <w:shd w:val="clear" w:color="auto" w:fill="auto"/>
            <w:noWrap/>
            <w:vAlign w:val="bottom"/>
            <w:hideMark/>
          </w:tcPr>
          <w:p w14:paraId="74A2CA05" w14:textId="77777777" w:rsidR="0058758F" w:rsidRPr="00A40217" w:rsidRDefault="0058758F" w:rsidP="00F02FAB">
            <w:pPr>
              <w:spacing w:after="0"/>
              <w:jc w:val="right"/>
              <w:rPr>
                <w:rFonts w:cstheme="minorHAnsi"/>
              </w:rPr>
            </w:pPr>
            <w:r w:rsidRPr="00A40217">
              <w:rPr>
                <w:rFonts w:cstheme="minorHAnsi"/>
              </w:rPr>
              <w:t>0%</w:t>
            </w:r>
          </w:p>
        </w:tc>
        <w:tc>
          <w:tcPr>
            <w:tcW w:w="996" w:type="dxa"/>
            <w:tcBorders>
              <w:top w:val="nil"/>
              <w:left w:val="nil"/>
              <w:bottom w:val="single" w:sz="4" w:space="0" w:color="auto"/>
              <w:right w:val="single" w:sz="4" w:space="0" w:color="auto"/>
            </w:tcBorders>
            <w:shd w:val="clear" w:color="auto" w:fill="auto"/>
            <w:noWrap/>
            <w:vAlign w:val="bottom"/>
            <w:hideMark/>
          </w:tcPr>
          <w:p w14:paraId="242D26D1" w14:textId="77777777" w:rsidR="0058758F" w:rsidRPr="00A40217" w:rsidRDefault="0058758F" w:rsidP="00F02FAB">
            <w:pPr>
              <w:spacing w:after="0"/>
              <w:jc w:val="right"/>
              <w:rPr>
                <w:rFonts w:cstheme="minorHAnsi"/>
              </w:rPr>
            </w:pPr>
            <w:r w:rsidRPr="00A40217">
              <w:rPr>
                <w:rFonts w:cstheme="minorHAnsi"/>
              </w:rPr>
              <w:t>1%</w:t>
            </w:r>
          </w:p>
        </w:tc>
        <w:tc>
          <w:tcPr>
            <w:tcW w:w="1176" w:type="dxa"/>
            <w:tcBorders>
              <w:top w:val="nil"/>
              <w:left w:val="nil"/>
              <w:bottom w:val="single" w:sz="4" w:space="0" w:color="auto"/>
              <w:right w:val="single" w:sz="4" w:space="0" w:color="auto"/>
            </w:tcBorders>
            <w:shd w:val="clear" w:color="auto" w:fill="auto"/>
            <w:noWrap/>
            <w:vAlign w:val="bottom"/>
            <w:hideMark/>
          </w:tcPr>
          <w:p w14:paraId="7336E349" w14:textId="77777777" w:rsidR="0058758F" w:rsidRPr="00A40217" w:rsidRDefault="0058758F" w:rsidP="00F02FAB">
            <w:pPr>
              <w:spacing w:after="0"/>
              <w:jc w:val="right"/>
              <w:rPr>
                <w:rFonts w:cstheme="minorHAnsi"/>
              </w:rPr>
            </w:pPr>
            <w:r w:rsidRPr="00A40217">
              <w:rPr>
                <w:rFonts w:cstheme="minorHAnsi"/>
              </w:rPr>
              <w:t>0%</w:t>
            </w:r>
          </w:p>
        </w:tc>
        <w:tc>
          <w:tcPr>
            <w:tcW w:w="996" w:type="dxa"/>
            <w:tcBorders>
              <w:top w:val="nil"/>
              <w:left w:val="nil"/>
              <w:bottom w:val="single" w:sz="4" w:space="0" w:color="auto"/>
              <w:right w:val="single" w:sz="4" w:space="0" w:color="auto"/>
            </w:tcBorders>
            <w:shd w:val="clear" w:color="auto" w:fill="auto"/>
            <w:noWrap/>
            <w:vAlign w:val="bottom"/>
            <w:hideMark/>
          </w:tcPr>
          <w:p w14:paraId="1BBA4CAD" w14:textId="77777777" w:rsidR="0058758F" w:rsidRPr="00A40217" w:rsidRDefault="0058758F" w:rsidP="00F02FAB">
            <w:pPr>
              <w:spacing w:after="0"/>
              <w:jc w:val="right"/>
              <w:rPr>
                <w:rFonts w:cstheme="minorHAnsi"/>
              </w:rPr>
            </w:pPr>
            <w:r w:rsidRPr="00A40217">
              <w:rPr>
                <w:rFonts w:cstheme="minorHAnsi"/>
              </w:rPr>
              <w:t>0%</w:t>
            </w:r>
          </w:p>
        </w:tc>
      </w:tr>
      <w:tr w:rsidR="0058758F" w:rsidRPr="00A40217" w14:paraId="763245FA" w14:textId="77777777" w:rsidTr="00F02FAB">
        <w:trPr>
          <w:trHeight w:hRule="exact" w:val="288"/>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3884FF57" w14:textId="77777777" w:rsidR="0058758F" w:rsidRPr="00A40217" w:rsidRDefault="0058758F" w:rsidP="00F02FAB">
            <w:pPr>
              <w:spacing w:after="0"/>
              <w:rPr>
                <w:rFonts w:cstheme="minorHAnsi"/>
              </w:rPr>
            </w:pPr>
            <w:r w:rsidRPr="00A40217">
              <w:rPr>
                <w:rFonts w:cstheme="minorHAnsi"/>
              </w:rPr>
              <w:t>Waste Burning</w:t>
            </w:r>
          </w:p>
        </w:tc>
        <w:tc>
          <w:tcPr>
            <w:tcW w:w="876" w:type="dxa"/>
            <w:tcBorders>
              <w:top w:val="nil"/>
              <w:left w:val="nil"/>
              <w:bottom w:val="single" w:sz="4" w:space="0" w:color="auto"/>
              <w:right w:val="single" w:sz="4" w:space="0" w:color="auto"/>
            </w:tcBorders>
            <w:shd w:val="clear" w:color="auto" w:fill="auto"/>
            <w:noWrap/>
            <w:vAlign w:val="bottom"/>
            <w:hideMark/>
          </w:tcPr>
          <w:p w14:paraId="614484CB" w14:textId="77777777" w:rsidR="0058758F" w:rsidRPr="00A40217" w:rsidRDefault="0058758F" w:rsidP="00F02FAB">
            <w:pPr>
              <w:spacing w:after="0"/>
              <w:jc w:val="right"/>
              <w:rPr>
                <w:rFonts w:cstheme="minorHAnsi"/>
              </w:rPr>
            </w:pPr>
            <w:r w:rsidRPr="00A40217">
              <w:rPr>
                <w:rFonts w:cstheme="minorHAnsi"/>
              </w:rPr>
              <w:t>11%</w:t>
            </w:r>
          </w:p>
        </w:tc>
        <w:tc>
          <w:tcPr>
            <w:tcW w:w="996" w:type="dxa"/>
            <w:tcBorders>
              <w:top w:val="nil"/>
              <w:left w:val="nil"/>
              <w:bottom w:val="single" w:sz="4" w:space="0" w:color="auto"/>
              <w:right w:val="single" w:sz="4" w:space="0" w:color="auto"/>
            </w:tcBorders>
            <w:shd w:val="clear" w:color="auto" w:fill="auto"/>
            <w:noWrap/>
            <w:vAlign w:val="bottom"/>
            <w:hideMark/>
          </w:tcPr>
          <w:p w14:paraId="1CA757EF" w14:textId="77777777" w:rsidR="0058758F" w:rsidRPr="00A40217" w:rsidRDefault="0058758F" w:rsidP="00F02FAB">
            <w:pPr>
              <w:spacing w:after="0"/>
              <w:jc w:val="right"/>
              <w:rPr>
                <w:rFonts w:cstheme="minorHAnsi"/>
              </w:rPr>
            </w:pPr>
            <w:r w:rsidRPr="00A40217">
              <w:rPr>
                <w:rFonts w:cstheme="minorHAnsi"/>
              </w:rPr>
              <w:t>9%</w:t>
            </w:r>
          </w:p>
        </w:tc>
        <w:tc>
          <w:tcPr>
            <w:tcW w:w="920" w:type="dxa"/>
            <w:tcBorders>
              <w:top w:val="nil"/>
              <w:left w:val="nil"/>
              <w:bottom w:val="single" w:sz="4" w:space="0" w:color="auto"/>
              <w:right w:val="single" w:sz="4" w:space="0" w:color="auto"/>
            </w:tcBorders>
            <w:shd w:val="clear" w:color="auto" w:fill="auto"/>
            <w:noWrap/>
            <w:vAlign w:val="bottom"/>
            <w:hideMark/>
          </w:tcPr>
          <w:p w14:paraId="5AE52CC9" w14:textId="77777777" w:rsidR="0058758F" w:rsidRPr="00A40217" w:rsidRDefault="0058758F" w:rsidP="00F02FAB">
            <w:pPr>
              <w:spacing w:after="0"/>
              <w:jc w:val="right"/>
              <w:rPr>
                <w:rFonts w:cstheme="minorHAnsi"/>
              </w:rPr>
            </w:pPr>
            <w:r w:rsidRPr="00A40217">
              <w:rPr>
                <w:rFonts w:cstheme="minorHAnsi"/>
              </w:rPr>
              <w:t>1%</w:t>
            </w:r>
          </w:p>
        </w:tc>
        <w:tc>
          <w:tcPr>
            <w:tcW w:w="996" w:type="dxa"/>
            <w:tcBorders>
              <w:top w:val="nil"/>
              <w:left w:val="nil"/>
              <w:bottom w:val="single" w:sz="4" w:space="0" w:color="auto"/>
              <w:right w:val="single" w:sz="4" w:space="0" w:color="auto"/>
            </w:tcBorders>
            <w:shd w:val="clear" w:color="auto" w:fill="auto"/>
            <w:noWrap/>
            <w:vAlign w:val="bottom"/>
            <w:hideMark/>
          </w:tcPr>
          <w:p w14:paraId="24F4075E" w14:textId="77777777" w:rsidR="0058758F" w:rsidRPr="00A40217" w:rsidRDefault="0058758F" w:rsidP="00F02FAB">
            <w:pPr>
              <w:spacing w:after="0"/>
              <w:jc w:val="right"/>
              <w:rPr>
                <w:rFonts w:cstheme="minorHAnsi"/>
              </w:rPr>
            </w:pPr>
            <w:r w:rsidRPr="00A40217">
              <w:rPr>
                <w:rFonts w:cstheme="minorHAnsi"/>
              </w:rPr>
              <w:t>1%</w:t>
            </w:r>
          </w:p>
        </w:tc>
        <w:tc>
          <w:tcPr>
            <w:tcW w:w="1176" w:type="dxa"/>
            <w:tcBorders>
              <w:top w:val="nil"/>
              <w:left w:val="nil"/>
              <w:bottom w:val="single" w:sz="4" w:space="0" w:color="auto"/>
              <w:right w:val="single" w:sz="4" w:space="0" w:color="auto"/>
            </w:tcBorders>
            <w:shd w:val="clear" w:color="auto" w:fill="auto"/>
            <w:noWrap/>
            <w:vAlign w:val="bottom"/>
            <w:hideMark/>
          </w:tcPr>
          <w:p w14:paraId="40CB6DA7" w14:textId="77777777" w:rsidR="0058758F" w:rsidRPr="00A40217" w:rsidRDefault="0058758F" w:rsidP="00F02FAB">
            <w:pPr>
              <w:spacing w:after="0"/>
              <w:jc w:val="right"/>
              <w:rPr>
                <w:rFonts w:cstheme="minorHAnsi"/>
              </w:rPr>
            </w:pPr>
            <w:r w:rsidRPr="00A40217">
              <w:rPr>
                <w:rFonts w:cstheme="minorHAnsi"/>
              </w:rPr>
              <w:t>4%</w:t>
            </w:r>
          </w:p>
        </w:tc>
        <w:tc>
          <w:tcPr>
            <w:tcW w:w="996" w:type="dxa"/>
            <w:tcBorders>
              <w:top w:val="nil"/>
              <w:left w:val="nil"/>
              <w:bottom w:val="single" w:sz="4" w:space="0" w:color="auto"/>
              <w:right w:val="single" w:sz="4" w:space="0" w:color="auto"/>
            </w:tcBorders>
            <w:shd w:val="clear" w:color="auto" w:fill="auto"/>
            <w:noWrap/>
            <w:vAlign w:val="bottom"/>
            <w:hideMark/>
          </w:tcPr>
          <w:p w14:paraId="573A649A" w14:textId="77777777" w:rsidR="0058758F" w:rsidRPr="00A40217" w:rsidRDefault="0058758F" w:rsidP="00F02FAB">
            <w:pPr>
              <w:spacing w:after="0"/>
              <w:jc w:val="right"/>
              <w:rPr>
                <w:rFonts w:cstheme="minorHAnsi"/>
              </w:rPr>
            </w:pPr>
            <w:r w:rsidRPr="00A40217">
              <w:rPr>
                <w:rFonts w:cstheme="minorHAnsi"/>
              </w:rPr>
              <w:t>3%</w:t>
            </w:r>
          </w:p>
        </w:tc>
      </w:tr>
      <w:tr w:rsidR="0058758F" w:rsidRPr="00A40217" w14:paraId="1E66C71B" w14:textId="77777777" w:rsidTr="00F02FAB">
        <w:trPr>
          <w:trHeight w:hRule="exact" w:val="288"/>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01B38674" w14:textId="77777777" w:rsidR="0058758F" w:rsidRPr="00A40217" w:rsidRDefault="0058758F" w:rsidP="00F02FAB">
            <w:pPr>
              <w:spacing w:after="0"/>
              <w:rPr>
                <w:rFonts w:cstheme="minorHAnsi"/>
              </w:rPr>
            </w:pPr>
            <w:r w:rsidRPr="00A40217">
              <w:rPr>
                <w:rFonts w:cstheme="minorHAnsi"/>
              </w:rPr>
              <w:t>Power Plants</w:t>
            </w:r>
          </w:p>
        </w:tc>
        <w:tc>
          <w:tcPr>
            <w:tcW w:w="876" w:type="dxa"/>
            <w:tcBorders>
              <w:top w:val="nil"/>
              <w:left w:val="nil"/>
              <w:bottom w:val="single" w:sz="4" w:space="0" w:color="auto"/>
              <w:right w:val="single" w:sz="4" w:space="0" w:color="auto"/>
            </w:tcBorders>
            <w:shd w:val="clear" w:color="auto" w:fill="auto"/>
            <w:noWrap/>
            <w:vAlign w:val="bottom"/>
            <w:hideMark/>
          </w:tcPr>
          <w:p w14:paraId="5F39C2B7" w14:textId="77777777" w:rsidR="0058758F" w:rsidRPr="00A40217" w:rsidRDefault="0058758F" w:rsidP="00F02FAB">
            <w:pPr>
              <w:spacing w:after="0"/>
              <w:jc w:val="right"/>
              <w:rPr>
                <w:rFonts w:cstheme="minorHAnsi"/>
              </w:rPr>
            </w:pPr>
            <w:r w:rsidRPr="00A40217">
              <w:rPr>
                <w:rFonts w:cstheme="minorHAnsi"/>
              </w:rPr>
              <w:t>11%</w:t>
            </w:r>
          </w:p>
        </w:tc>
        <w:tc>
          <w:tcPr>
            <w:tcW w:w="996" w:type="dxa"/>
            <w:tcBorders>
              <w:top w:val="nil"/>
              <w:left w:val="nil"/>
              <w:bottom w:val="single" w:sz="4" w:space="0" w:color="auto"/>
              <w:right w:val="single" w:sz="4" w:space="0" w:color="auto"/>
            </w:tcBorders>
            <w:shd w:val="clear" w:color="auto" w:fill="auto"/>
            <w:noWrap/>
            <w:vAlign w:val="bottom"/>
            <w:hideMark/>
          </w:tcPr>
          <w:p w14:paraId="45EFD7A0" w14:textId="77777777" w:rsidR="0058758F" w:rsidRPr="00A40217" w:rsidRDefault="0058758F" w:rsidP="00F02FAB">
            <w:pPr>
              <w:spacing w:after="0"/>
              <w:jc w:val="right"/>
              <w:rPr>
                <w:rFonts w:cstheme="minorHAnsi"/>
              </w:rPr>
            </w:pPr>
            <w:r w:rsidRPr="00A40217">
              <w:rPr>
                <w:rFonts w:cstheme="minorHAnsi"/>
              </w:rPr>
              <w:t>12%</w:t>
            </w:r>
          </w:p>
        </w:tc>
        <w:tc>
          <w:tcPr>
            <w:tcW w:w="920" w:type="dxa"/>
            <w:tcBorders>
              <w:top w:val="nil"/>
              <w:left w:val="nil"/>
              <w:bottom w:val="single" w:sz="4" w:space="0" w:color="auto"/>
              <w:right w:val="single" w:sz="4" w:space="0" w:color="auto"/>
            </w:tcBorders>
            <w:shd w:val="clear" w:color="auto" w:fill="auto"/>
            <w:noWrap/>
            <w:vAlign w:val="bottom"/>
            <w:hideMark/>
          </w:tcPr>
          <w:p w14:paraId="1D2FEA3F" w14:textId="77777777" w:rsidR="0058758F" w:rsidRPr="00A40217" w:rsidRDefault="0058758F" w:rsidP="00F02FAB">
            <w:pPr>
              <w:spacing w:after="0"/>
              <w:jc w:val="right"/>
              <w:rPr>
                <w:rFonts w:cstheme="minorHAnsi"/>
              </w:rPr>
            </w:pPr>
            <w:r w:rsidRPr="00A40217">
              <w:rPr>
                <w:rFonts w:cstheme="minorHAnsi"/>
              </w:rPr>
              <w:t>47%</w:t>
            </w:r>
          </w:p>
        </w:tc>
        <w:tc>
          <w:tcPr>
            <w:tcW w:w="996" w:type="dxa"/>
            <w:tcBorders>
              <w:top w:val="nil"/>
              <w:left w:val="nil"/>
              <w:bottom w:val="single" w:sz="4" w:space="0" w:color="auto"/>
              <w:right w:val="single" w:sz="4" w:space="0" w:color="auto"/>
            </w:tcBorders>
            <w:shd w:val="clear" w:color="auto" w:fill="auto"/>
            <w:noWrap/>
            <w:vAlign w:val="bottom"/>
            <w:hideMark/>
          </w:tcPr>
          <w:p w14:paraId="523A338D" w14:textId="77777777" w:rsidR="0058758F" w:rsidRPr="00A40217" w:rsidRDefault="0058758F" w:rsidP="00F02FAB">
            <w:pPr>
              <w:spacing w:after="0"/>
              <w:jc w:val="right"/>
              <w:rPr>
                <w:rFonts w:cstheme="minorHAnsi"/>
              </w:rPr>
            </w:pPr>
            <w:r w:rsidRPr="00A40217">
              <w:rPr>
                <w:rFonts w:cstheme="minorHAnsi"/>
              </w:rPr>
              <w:t>6%</w:t>
            </w:r>
          </w:p>
        </w:tc>
        <w:tc>
          <w:tcPr>
            <w:tcW w:w="1176" w:type="dxa"/>
            <w:tcBorders>
              <w:top w:val="nil"/>
              <w:left w:val="nil"/>
              <w:bottom w:val="single" w:sz="4" w:space="0" w:color="auto"/>
              <w:right w:val="single" w:sz="4" w:space="0" w:color="auto"/>
            </w:tcBorders>
            <w:shd w:val="clear" w:color="auto" w:fill="auto"/>
            <w:noWrap/>
            <w:vAlign w:val="bottom"/>
            <w:hideMark/>
          </w:tcPr>
          <w:p w14:paraId="1DD878B3" w14:textId="77777777" w:rsidR="0058758F" w:rsidRPr="00A40217" w:rsidRDefault="0058758F" w:rsidP="00F02FAB">
            <w:pPr>
              <w:spacing w:after="0"/>
              <w:jc w:val="right"/>
              <w:rPr>
                <w:rFonts w:cstheme="minorHAnsi"/>
              </w:rPr>
            </w:pPr>
            <w:r w:rsidRPr="00A40217">
              <w:rPr>
                <w:rFonts w:cstheme="minorHAnsi"/>
              </w:rPr>
              <w:t>24%</w:t>
            </w:r>
          </w:p>
        </w:tc>
        <w:tc>
          <w:tcPr>
            <w:tcW w:w="996" w:type="dxa"/>
            <w:tcBorders>
              <w:top w:val="nil"/>
              <w:left w:val="nil"/>
              <w:bottom w:val="single" w:sz="4" w:space="0" w:color="auto"/>
              <w:right w:val="single" w:sz="4" w:space="0" w:color="auto"/>
            </w:tcBorders>
            <w:shd w:val="clear" w:color="auto" w:fill="auto"/>
            <w:noWrap/>
            <w:vAlign w:val="bottom"/>
            <w:hideMark/>
          </w:tcPr>
          <w:p w14:paraId="149B21A7" w14:textId="77777777" w:rsidR="0058758F" w:rsidRPr="00A40217" w:rsidRDefault="0058758F" w:rsidP="00F02FAB">
            <w:pPr>
              <w:spacing w:after="0"/>
              <w:jc w:val="right"/>
              <w:rPr>
                <w:rFonts w:cstheme="minorHAnsi"/>
              </w:rPr>
            </w:pPr>
            <w:r w:rsidRPr="00A40217">
              <w:rPr>
                <w:rFonts w:cstheme="minorHAnsi"/>
              </w:rPr>
              <w:t>12%</w:t>
            </w:r>
          </w:p>
        </w:tc>
      </w:tr>
      <w:tr w:rsidR="0058758F" w:rsidRPr="00A40217" w14:paraId="23535DA2" w14:textId="77777777" w:rsidTr="00F02FAB">
        <w:trPr>
          <w:trHeight w:hRule="exact" w:val="288"/>
          <w:jc w:val="center"/>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F11C91" w14:textId="77777777" w:rsidR="0058758F" w:rsidRPr="00A40217" w:rsidRDefault="0058758F" w:rsidP="00F02FAB">
            <w:pPr>
              <w:spacing w:after="0"/>
              <w:rPr>
                <w:rFonts w:cstheme="minorHAnsi"/>
              </w:rPr>
            </w:pPr>
            <w:r w:rsidRPr="00A40217">
              <w:rPr>
                <w:rFonts w:cstheme="minorHAnsi"/>
              </w:rPr>
              <w:t>Total (%)</w:t>
            </w:r>
          </w:p>
        </w:tc>
        <w:tc>
          <w:tcPr>
            <w:tcW w:w="876" w:type="dxa"/>
            <w:tcBorders>
              <w:top w:val="single" w:sz="4" w:space="0" w:color="auto"/>
              <w:left w:val="nil"/>
              <w:bottom w:val="single" w:sz="4" w:space="0" w:color="auto"/>
              <w:right w:val="single" w:sz="4" w:space="0" w:color="auto"/>
            </w:tcBorders>
            <w:shd w:val="clear" w:color="auto" w:fill="auto"/>
            <w:noWrap/>
            <w:vAlign w:val="bottom"/>
            <w:hideMark/>
          </w:tcPr>
          <w:p w14:paraId="27E1C4A3" w14:textId="77777777" w:rsidR="0058758F" w:rsidRPr="00A40217" w:rsidRDefault="0058758F" w:rsidP="00F02FAB">
            <w:pPr>
              <w:spacing w:after="0"/>
              <w:jc w:val="right"/>
              <w:rPr>
                <w:rFonts w:cstheme="minorHAnsi"/>
              </w:rPr>
            </w:pPr>
            <w:r w:rsidRPr="00A40217">
              <w:rPr>
                <w:rFonts w:cstheme="minorHAnsi"/>
              </w:rPr>
              <w:t>100%</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14:paraId="1B417284" w14:textId="77777777" w:rsidR="0058758F" w:rsidRPr="00A40217" w:rsidRDefault="0058758F" w:rsidP="00F02FAB">
            <w:pPr>
              <w:spacing w:after="0"/>
              <w:jc w:val="right"/>
              <w:rPr>
                <w:rFonts w:cstheme="minorHAnsi"/>
              </w:rPr>
            </w:pPr>
            <w:r w:rsidRPr="00A40217">
              <w:rPr>
                <w:rFonts w:cstheme="minorHAnsi"/>
              </w:rPr>
              <w:t>100%</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38D2E880" w14:textId="77777777" w:rsidR="0058758F" w:rsidRPr="00A40217" w:rsidRDefault="0058758F" w:rsidP="00F02FAB">
            <w:pPr>
              <w:spacing w:after="0"/>
              <w:jc w:val="right"/>
              <w:rPr>
                <w:rFonts w:cstheme="minorHAnsi"/>
              </w:rPr>
            </w:pPr>
            <w:r w:rsidRPr="00A40217">
              <w:rPr>
                <w:rFonts w:cstheme="minorHAnsi"/>
              </w:rPr>
              <w:t>100%</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14:paraId="0E2E5955" w14:textId="77777777" w:rsidR="0058758F" w:rsidRPr="00A40217" w:rsidRDefault="0058758F" w:rsidP="00F02FAB">
            <w:pPr>
              <w:spacing w:after="0"/>
              <w:jc w:val="right"/>
              <w:rPr>
                <w:rFonts w:cstheme="minorHAnsi"/>
              </w:rPr>
            </w:pPr>
            <w:r w:rsidRPr="00A40217">
              <w:rPr>
                <w:rFonts w:cstheme="minorHAnsi"/>
              </w:rPr>
              <w:t>100%</w:t>
            </w:r>
          </w:p>
        </w:tc>
        <w:tc>
          <w:tcPr>
            <w:tcW w:w="1176" w:type="dxa"/>
            <w:tcBorders>
              <w:top w:val="single" w:sz="4" w:space="0" w:color="auto"/>
              <w:left w:val="nil"/>
              <w:bottom w:val="single" w:sz="4" w:space="0" w:color="auto"/>
              <w:right w:val="single" w:sz="4" w:space="0" w:color="auto"/>
            </w:tcBorders>
            <w:shd w:val="clear" w:color="auto" w:fill="auto"/>
            <w:noWrap/>
            <w:vAlign w:val="bottom"/>
            <w:hideMark/>
          </w:tcPr>
          <w:p w14:paraId="2325DBC3" w14:textId="77777777" w:rsidR="0058758F" w:rsidRPr="00A40217" w:rsidRDefault="0058758F" w:rsidP="00F02FAB">
            <w:pPr>
              <w:spacing w:after="0"/>
              <w:jc w:val="right"/>
              <w:rPr>
                <w:rFonts w:cstheme="minorHAnsi"/>
              </w:rPr>
            </w:pPr>
            <w:r w:rsidRPr="00A40217">
              <w:rPr>
                <w:rFonts w:cstheme="minorHAnsi"/>
              </w:rPr>
              <w:t>100%</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14:paraId="7E6C7F0F" w14:textId="77777777" w:rsidR="0058758F" w:rsidRPr="00A40217" w:rsidRDefault="0058758F" w:rsidP="00F02FAB">
            <w:pPr>
              <w:spacing w:after="0"/>
              <w:jc w:val="right"/>
              <w:rPr>
                <w:rFonts w:cstheme="minorHAnsi"/>
              </w:rPr>
            </w:pPr>
            <w:r w:rsidRPr="00A40217">
              <w:rPr>
                <w:rFonts w:cstheme="minorHAnsi"/>
              </w:rPr>
              <w:t>100%</w:t>
            </w:r>
          </w:p>
        </w:tc>
      </w:tr>
      <w:tr w:rsidR="0058758F" w:rsidRPr="00A40217" w14:paraId="25779313" w14:textId="77777777" w:rsidTr="00F02FAB">
        <w:trPr>
          <w:trHeight w:hRule="exact" w:val="288"/>
          <w:jc w:val="center"/>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3BDB01" w14:textId="77777777" w:rsidR="0058758F" w:rsidRPr="00A40217" w:rsidRDefault="0058758F" w:rsidP="00F02FAB">
            <w:pPr>
              <w:spacing w:after="0"/>
              <w:rPr>
                <w:rFonts w:cstheme="minorHAnsi"/>
              </w:rPr>
            </w:pPr>
            <w:r w:rsidRPr="00A40217">
              <w:rPr>
                <w:rFonts w:cstheme="minorHAnsi"/>
              </w:rPr>
              <w:t>Total (tonnes)</w:t>
            </w:r>
          </w:p>
        </w:tc>
        <w:tc>
          <w:tcPr>
            <w:tcW w:w="876" w:type="dxa"/>
            <w:tcBorders>
              <w:top w:val="single" w:sz="4" w:space="0" w:color="auto"/>
              <w:left w:val="nil"/>
              <w:bottom w:val="single" w:sz="4" w:space="0" w:color="auto"/>
              <w:right w:val="single" w:sz="4" w:space="0" w:color="auto"/>
            </w:tcBorders>
            <w:shd w:val="clear" w:color="auto" w:fill="auto"/>
            <w:noWrap/>
            <w:vAlign w:val="bottom"/>
          </w:tcPr>
          <w:p w14:paraId="234D9653" w14:textId="77777777" w:rsidR="0058758F" w:rsidRPr="00A40217" w:rsidRDefault="0058758F" w:rsidP="00F02FAB">
            <w:pPr>
              <w:spacing w:after="0"/>
              <w:jc w:val="right"/>
              <w:rPr>
                <w:rFonts w:cstheme="minorHAnsi"/>
              </w:rPr>
            </w:pPr>
            <w:r w:rsidRPr="00A40217">
              <w:rPr>
                <w:rFonts w:cstheme="minorHAnsi"/>
              </w:rPr>
              <w:t>84,000</w:t>
            </w:r>
          </w:p>
        </w:tc>
        <w:tc>
          <w:tcPr>
            <w:tcW w:w="996" w:type="dxa"/>
            <w:tcBorders>
              <w:top w:val="single" w:sz="4" w:space="0" w:color="auto"/>
              <w:left w:val="nil"/>
              <w:bottom w:val="single" w:sz="4" w:space="0" w:color="auto"/>
              <w:right w:val="single" w:sz="4" w:space="0" w:color="auto"/>
            </w:tcBorders>
            <w:shd w:val="clear" w:color="auto" w:fill="auto"/>
            <w:noWrap/>
            <w:vAlign w:val="bottom"/>
          </w:tcPr>
          <w:p w14:paraId="728CA346" w14:textId="77777777" w:rsidR="0058758F" w:rsidRPr="00A40217" w:rsidRDefault="0058758F" w:rsidP="00F02FAB">
            <w:pPr>
              <w:spacing w:after="0"/>
              <w:jc w:val="right"/>
              <w:rPr>
                <w:rFonts w:cstheme="minorHAnsi"/>
              </w:rPr>
            </w:pPr>
            <w:r w:rsidRPr="00A40217">
              <w:rPr>
                <w:rFonts w:cstheme="minorHAnsi"/>
              </w:rPr>
              <w:t>138,000</w:t>
            </w:r>
          </w:p>
        </w:tc>
        <w:tc>
          <w:tcPr>
            <w:tcW w:w="920" w:type="dxa"/>
            <w:tcBorders>
              <w:top w:val="single" w:sz="4" w:space="0" w:color="auto"/>
              <w:left w:val="nil"/>
              <w:bottom w:val="single" w:sz="4" w:space="0" w:color="auto"/>
              <w:right w:val="single" w:sz="4" w:space="0" w:color="auto"/>
            </w:tcBorders>
            <w:shd w:val="clear" w:color="auto" w:fill="auto"/>
            <w:noWrap/>
            <w:vAlign w:val="bottom"/>
          </w:tcPr>
          <w:p w14:paraId="1860AC51" w14:textId="77777777" w:rsidR="0058758F" w:rsidRPr="00A40217" w:rsidRDefault="0058758F" w:rsidP="00F02FAB">
            <w:pPr>
              <w:spacing w:after="0"/>
              <w:jc w:val="right"/>
              <w:rPr>
                <w:rFonts w:cstheme="minorHAnsi"/>
              </w:rPr>
            </w:pPr>
            <w:r w:rsidRPr="00A40217">
              <w:rPr>
                <w:rFonts w:cstheme="minorHAnsi"/>
              </w:rPr>
              <w:t>40,500</w:t>
            </w:r>
          </w:p>
        </w:tc>
        <w:tc>
          <w:tcPr>
            <w:tcW w:w="996" w:type="dxa"/>
            <w:tcBorders>
              <w:top w:val="single" w:sz="4" w:space="0" w:color="auto"/>
              <w:left w:val="nil"/>
              <w:bottom w:val="single" w:sz="4" w:space="0" w:color="auto"/>
              <w:right w:val="single" w:sz="4" w:space="0" w:color="auto"/>
            </w:tcBorders>
            <w:shd w:val="clear" w:color="auto" w:fill="auto"/>
            <w:noWrap/>
            <w:vAlign w:val="bottom"/>
          </w:tcPr>
          <w:p w14:paraId="4FBF6AE1" w14:textId="77777777" w:rsidR="0058758F" w:rsidRPr="00A40217" w:rsidRDefault="0058758F" w:rsidP="00F02FAB">
            <w:pPr>
              <w:spacing w:after="0"/>
              <w:jc w:val="right"/>
              <w:rPr>
                <w:rFonts w:cstheme="minorHAnsi"/>
              </w:rPr>
            </w:pPr>
            <w:r w:rsidRPr="00A40217">
              <w:rPr>
                <w:rFonts w:cstheme="minorHAnsi"/>
              </w:rPr>
              <w:t>517,000</w:t>
            </w:r>
          </w:p>
        </w:tc>
        <w:tc>
          <w:tcPr>
            <w:tcW w:w="1176" w:type="dxa"/>
            <w:tcBorders>
              <w:top w:val="single" w:sz="4" w:space="0" w:color="auto"/>
              <w:left w:val="nil"/>
              <w:bottom w:val="single" w:sz="4" w:space="0" w:color="auto"/>
              <w:right w:val="single" w:sz="4" w:space="0" w:color="auto"/>
            </w:tcBorders>
            <w:shd w:val="clear" w:color="auto" w:fill="auto"/>
            <w:noWrap/>
            <w:vAlign w:val="bottom"/>
          </w:tcPr>
          <w:p w14:paraId="7D741034" w14:textId="77777777" w:rsidR="0058758F" w:rsidRPr="00A40217" w:rsidRDefault="0058758F" w:rsidP="00F02FAB">
            <w:pPr>
              <w:spacing w:after="0"/>
              <w:jc w:val="right"/>
              <w:rPr>
                <w:rFonts w:cstheme="minorHAnsi"/>
              </w:rPr>
            </w:pPr>
            <w:r w:rsidRPr="00A40217">
              <w:rPr>
                <w:rFonts w:cstheme="minorHAnsi"/>
              </w:rPr>
              <w:t>1,770,600</w:t>
            </w:r>
          </w:p>
        </w:tc>
        <w:tc>
          <w:tcPr>
            <w:tcW w:w="996" w:type="dxa"/>
            <w:tcBorders>
              <w:top w:val="single" w:sz="4" w:space="0" w:color="auto"/>
              <w:left w:val="nil"/>
              <w:bottom w:val="single" w:sz="4" w:space="0" w:color="auto"/>
              <w:right w:val="single" w:sz="4" w:space="0" w:color="auto"/>
            </w:tcBorders>
            <w:shd w:val="clear" w:color="auto" w:fill="auto"/>
            <w:noWrap/>
            <w:vAlign w:val="bottom"/>
          </w:tcPr>
          <w:p w14:paraId="689E8C41" w14:textId="77777777" w:rsidR="0058758F" w:rsidRPr="00A40217" w:rsidRDefault="0058758F" w:rsidP="00F02FAB">
            <w:pPr>
              <w:spacing w:after="0"/>
              <w:jc w:val="right"/>
              <w:rPr>
                <w:rFonts w:cstheme="minorHAnsi"/>
              </w:rPr>
            </w:pPr>
            <w:r w:rsidRPr="00A40217">
              <w:rPr>
                <w:rFonts w:cstheme="minorHAnsi"/>
              </w:rPr>
              <w:t>269,000</w:t>
            </w:r>
          </w:p>
        </w:tc>
      </w:tr>
    </w:tbl>
    <w:p w14:paraId="7752043C" w14:textId="5BDB8552" w:rsidR="0058758F" w:rsidRPr="00A40217" w:rsidRDefault="007C02D1" w:rsidP="0058758F">
      <w:pPr>
        <w:rPr>
          <w:rFonts w:cstheme="minorHAnsi"/>
        </w:rPr>
      </w:pPr>
      <w:bookmarkStart w:id="50" w:name="_Toc422913145"/>
      <w:r w:rsidRPr="00A40217">
        <w:rPr>
          <w:rFonts w:cstheme="minorHAnsi"/>
        </w:rPr>
        <w:t xml:space="preserve">Figure 11 </w:t>
      </w:r>
      <w:r w:rsidR="0058758F" w:rsidRPr="00A40217">
        <w:rPr>
          <w:rFonts w:cstheme="minorHAnsi"/>
        </w:rPr>
        <w:t>presents gridded vehicular-exhaust and road-dust PM</w:t>
      </w:r>
      <w:r w:rsidR="0058758F" w:rsidRPr="00A40217">
        <w:rPr>
          <w:rFonts w:cstheme="minorHAnsi"/>
          <w:vertAlign w:val="subscript"/>
        </w:rPr>
        <w:t>2.5</w:t>
      </w:r>
      <w:r w:rsidR="0058758F" w:rsidRPr="00A40217">
        <w:rPr>
          <w:rFonts w:cstheme="minorHAnsi"/>
        </w:rPr>
        <w:t xml:space="preserve"> emissions, obtained using GIS-based and other secondary data resources. Highest levels of emissions are within the core area of the city as well as the ring roads. This is because this road network coincides with high-density population settlement in the city (see</w:t>
      </w:r>
      <w:r w:rsidRPr="00A40217">
        <w:rPr>
          <w:rFonts w:cstheme="minorHAnsi"/>
        </w:rPr>
        <w:t xml:space="preserve"> Figure 12</w:t>
      </w:r>
      <w:r w:rsidR="0058758F" w:rsidRPr="00A40217">
        <w:rPr>
          <w:rFonts w:cstheme="minorHAnsi"/>
        </w:rPr>
        <w:t xml:space="preserve">). The two ring roads also have high freight vehicle movement serving as important links for various radial highways. The highways have high emissions </w:t>
      </w:r>
      <w:r w:rsidR="0058758F" w:rsidRPr="00A40217">
        <w:rPr>
          <w:rFonts w:cstheme="minorHAnsi"/>
        </w:rPr>
        <w:lastRenderedPageBreak/>
        <w:t xml:space="preserve">due to inter-city buses as well as freight movement, while the movement of cars and 2W is less on those roads compared to the core city.  </w:t>
      </w:r>
    </w:p>
    <w:p w14:paraId="207964D0" w14:textId="77777777" w:rsidR="0058758F" w:rsidRPr="00A40217" w:rsidRDefault="0058758F" w:rsidP="0058758F">
      <w:pPr>
        <w:keepNext/>
        <w:jc w:val="center"/>
        <w:rPr>
          <w:rFonts w:cstheme="minorHAnsi"/>
        </w:rPr>
      </w:pPr>
      <w:r w:rsidRPr="00A40217">
        <w:rPr>
          <w:rFonts w:cstheme="minorHAnsi"/>
          <w:noProof/>
          <w:lang w:val="en-GB" w:eastAsia="en-GB"/>
        </w:rPr>
        <w:drawing>
          <wp:inline distT="0" distB="0" distL="0" distR="0" wp14:anchorId="30D56241" wp14:editId="05272F95">
            <wp:extent cx="2743200" cy="2750914"/>
            <wp:effectExtent l="0" t="0" r="0" b="0"/>
            <wp:docPr id="63" name="Picture 63" descr="C:\Users\admin\AppData\Local\Temp\pm25_emm_rd.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Temp\pm25_emm_rd.tif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43200" cy="2750914"/>
                    </a:xfrm>
                    <a:prstGeom prst="rect">
                      <a:avLst/>
                    </a:prstGeom>
                    <a:noFill/>
                    <a:ln>
                      <a:noFill/>
                    </a:ln>
                  </pic:spPr>
                </pic:pic>
              </a:graphicData>
            </a:graphic>
          </wp:inline>
        </w:drawing>
      </w:r>
    </w:p>
    <w:p w14:paraId="6C1D5281" w14:textId="788D3E3C" w:rsidR="0058758F" w:rsidRPr="00A40217" w:rsidRDefault="0058758F" w:rsidP="0058758F">
      <w:pPr>
        <w:pStyle w:val="Caption"/>
        <w:jc w:val="center"/>
        <w:rPr>
          <w:rFonts w:asciiTheme="minorHAnsi" w:hAnsiTheme="minorHAnsi" w:cstheme="minorHAnsi"/>
        </w:rPr>
      </w:pPr>
      <w:bookmarkStart w:id="51" w:name="_Ref429043358"/>
      <w:bookmarkStart w:id="52" w:name="_Toc476818719"/>
      <w:r w:rsidRPr="00A40217">
        <w:rPr>
          <w:rFonts w:asciiTheme="minorHAnsi" w:hAnsiTheme="minorHAnsi" w:cstheme="minorHAnsi"/>
        </w:rPr>
        <w:t xml:space="preserve">Figure </w:t>
      </w:r>
      <w:bookmarkEnd w:id="51"/>
      <w:r w:rsidR="007C02D1" w:rsidRPr="00A40217">
        <w:rPr>
          <w:rFonts w:asciiTheme="minorHAnsi" w:hAnsiTheme="minorHAnsi" w:cstheme="minorHAnsi"/>
        </w:rPr>
        <w:t>11:</w:t>
      </w:r>
      <w:r w:rsidRPr="00A40217">
        <w:rPr>
          <w:rFonts w:asciiTheme="minorHAnsi" w:hAnsiTheme="minorHAnsi" w:cstheme="minorHAnsi"/>
        </w:rPr>
        <w:t xml:space="preserve"> Gridded Vehicular-Exhaust and Road-Dust PM</w:t>
      </w:r>
      <w:r w:rsidRPr="00A40217">
        <w:rPr>
          <w:rFonts w:asciiTheme="minorHAnsi" w:hAnsiTheme="minorHAnsi" w:cstheme="minorHAnsi"/>
          <w:vertAlign w:val="subscript"/>
        </w:rPr>
        <w:t>2.5</w:t>
      </w:r>
      <w:r w:rsidRPr="00A40217">
        <w:rPr>
          <w:rFonts w:asciiTheme="minorHAnsi" w:hAnsiTheme="minorHAnsi" w:cstheme="minorHAnsi"/>
        </w:rPr>
        <w:t xml:space="preserve"> Annual Emissions</w:t>
      </w:r>
      <w:bookmarkEnd w:id="5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8758F" w:rsidRPr="00A40217" w14:paraId="35165FB3" w14:textId="77777777" w:rsidTr="00F02FAB">
        <w:trPr>
          <w:trHeight w:val="4409"/>
        </w:trPr>
        <w:tc>
          <w:tcPr>
            <w:tcW w:w="4508" w:type="dxa"/>
          </w:tcPr>
          <w:p w14:paraId="3BF321FD" w14:textId="77777777" w:rsidR="0058758F" w:rsidRPr="00A40217" w:rsidRDefault="0058758F" w:rsidP="00F02FAB">
            <w:pPr>
              <w:rPr>
                <w:rFonts w:cstheme="minorHAnsi"/>
                <w:szCs w:val="24"/>
              </w:rPr>
            </w:pPr>
            <w:r w:rsidRPr="00A40217">
              <w:rPr>
                <w:rFonts w:cstheme="minorHAnsi"/>
                <w:noProof/>
                <w:lang w:val="en-GB" w:eastAsia="en-GB"/>
              </w:rPr>
              <w:drawing>
                <wp:inline distT="0" distB="0" distL="0" distR="0" wp14:anchorId="4B59240C" wp14:editId="35C8ADB0">
                  <wp:extent cx="2743200" cy="2743200"/>
                  <wp:effectExtent l="0" t="0" r="0" b="0"/>
                  <wp:docPr id="64" name="Picture 64" descr="C:\Users\admin\Desktop\Thesis Chapters\population_density_grids_ncr.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Thesis Chapters\population_density_grids_ncr.tif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tc>
        <w:tc>
          <w:tcPr>
            <w:tcW w:w="4508" w:type="dxa"/>
          </w:tcPr>
          <w:p w14:paraId="796BBBF3" w14:textId="77777777" w:rsidR="0058758F" w:rsidRPr="00A40217" w:rsidRDefault="0058758F" w:rsidP="00F02FAB">
            <w:pPr>
              <w:rPr>
                <w:rFonts w:cstheme="minorHAnsi"/>
                <w:szCs w:val="24"/>
              </w:rPr>
            </w:pPr>
            <w:r w:rsidRPr="00A40217">
              <w:rPr>
                <w:rFonts w:cstheme="minorHAnsi"/>
                <w:noProof/>
                <w:lang w:val="en-GB" w:eastAsia="en-GB"/>
              </w:rPr>
              <w:drawing>
                <wp:inline distT="0" distB="0" distL="0" distR="0" wp14:anchorId="6EBBFDCB" wp14:editId="3D04522D">
                  <wp:extent cx="2743200" cy="2753249"/>
                  <wp:effectExtent l="0" t="0" r="0" b="9525"/>
                  <wp:docPr id="65" name="Picture 65" descr="C:\Users\admin\Desktop\Thesis Chapters\total_pm25_conc.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Thesis Chapters\total_pm25_conc.tif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43200" cy="2753249"/>
                          </a:xfrm>
                          <a:prstGeom prst="rect">
                            <a:avLst/>
                          </a:prstGeom>
                          <a:noFill/>
                          <a:ln>
                            <a:noFill/>
                          </a:ln>
                        </pic:spPr>
                      </pic:pic>
                    </a:graphicData>
                  </a:graphic>
                </wp:inline>
              </w:drawing>
            </w:r>
          </w:p>
        </w:tc>
      </w:tr>
      <w:tr w:rsidR="0058758F" w:rsidRPr="00A40217" w14:paraId="4830E79D" w14:textId="77777777" w:rsidTr="00F02FAB">
        <w:tc>
          <w:tcPr>
            <w:tcW w:w="4508" w:type="dxa"/>
          </w:tcPr>
          <w:p w14:paraId="36622AC6" w14:textId="77777777" w:rsidR="0058758F" w:rsidRPr="00A40217" w:rsidRDefault="0058758F" w:rsidP="0058758F">
            <w:pPr>
              <w:pStyle w:val="ListParagraph"/>
              <w:numPr>
                <w:ilvl w:val="0"/>
                <w:numId w:val="8"/>
              </w:numPr>
              <w:spacing w:after="0"/>
              <w:ind w:left="337"/>
              <w:rPr>
                <w:rFonts w:cstheme="minorHAnsi"/>
                <w:b/>
                <w:szCs w:val="24"/>
              </w:rPr>
            </w:pPr>
            <w:r w:rsidRPr="00A40217">
              <w:rPr>
                <w:rFonts w:cstheme="minorHAnsi"/>
                <w:b/>
              </w:rPr>
              <w:t>Gridded population density</w:t>
            </w:r>
          </w:p>
        </w:tc>
        <w:tc>
          <w:tcPr>
            <w:tcW w:w="4508" w:type="dxa"/>
          </w:tcPr>
          <w:p w14:paraId="6F0FB21D" w14:textId="77777777" w:rsidR="0058758F" w:rsidRPr="00A40217" w:rsidRDefault="0058758F" w:rsidP="0058758F">
            <w:pPr>
              <w:pStyle w:val="ListParagraph"/>
              <w:numPr>
                <w:ilvl w:val="0"/>
                <w:numId w:val="8"/>
              </w:numPr>
              <w:spacing w:after="0"/>
              <w:ind w:left="329"/>
              <w:rPr>
                <w:rFonts w:cstheme="minorHAnsi"/>
                <w:b/>
                <w:szCs w:val="24"/>
              </w:rPr>
            </w:pPr>
            <w:r w:rsidRPr="00A40217">
              <w:rPr>
                <w:rFonts w:cstheme="minorHAnsi"/>
                <w:b/>
              </w:rPr>
              <w:t>Annual-average PM</w:t>
            </w:r>
            <w:r w:rsidRPr="00A40217">
              <w:rPr>
                <w:rFonts w:cstheme="minorHAnsi"/>
                <w:b/>
                <w:vertAlign w:val="subscript"/>
              </w:rPr>
              <w:t>2.5</w:t>
            </w:r>
            <w:r w:rsidRPr="00A40217">
              <w:rPr>
                <w:rFonts w:cstheme="minorHAnsi"/>
                <w:b/>
              </w:rPr>
              <w:t xml:space="preserve"> concentrations</w:t>
            </w:r>
          </w:p>
        </w:tc>
      </w:tr>
    </w:tbl>
    <w:p w14:paraId="17324D3A" w14:textId="0EC6D220" w:rsidR="0058758F" w:rsidRPr="00A40217" w:rsidRDefault="0058758F" w:rsidP="0058758F">
      <w:pPr>
        <w:pStyle w:val="Caption"/>
        <w:jc w:val="center"/>
        <w:rPr>
          <w:rFonts w:asciiTheme="minorHAnsi" w:hAnsiTheme="minorHAnsi" w:cstheme="minorHAnsi"/>
        </w:rPr>
      </w:pPr>
      <w:bookmarkStart w:id="53" w:name="_Ref426992220"/>
      <w:bookmarkStart w:id="54" w:name="_Toc476818720"/>
      <w:r w:rsidRPr="00A40217">
        <w:rPr>
          <w:rFonts w:asciiTheme="minorHAnsi" w:hAnsiTheme="minorHAnsi" w:cstheme="minorHAnsi"/>
        </w:rPr>
        <w:t>Figure</w:t>
      </w:r>
      <w:bookmarkEnd w:id="53"/>
      <w:r w:rsidR="007C02D1" w:rsidRPr="00A40217">
        <w:rPr>
          <w:rFonts w:asciiTheme="minorHAnsi" w:hAnsiTheme="minorHAnsi" w:cstheme="minorHAnsi"/>
        </w:rPr>
        <w:t xml:space="preserve"> 12</w:t>
      </w:r>
      <w:r w:rsidRPr="00A40217">
        <w:rPr>
          <w:rFonts w:asciiTheme="minorHAnsi" w:hAnsiTheme="minorHAnsi" w:cstheme="minorHAnsi"/>
        </w:rPr>
        <w:t>: Gridded population and modelled PM</w:t>
      </w:r>
      <w:r w:rsidRPr="00A40217">
        <w:rPr>
          <w:rFonts w:asciiTheme="minorHAnsi" w:hAnsiTheme="minorHAnsi" w:cstheme="minorHAnsi"/>
          <w:vertAlign w:val="subscript"/>
        </w:rPr>
        <w:t>2.5</w:t>
      </w:r>
      <w:r w:rsidRPr="00A40217">
        <w:rPr>
          <w:rFonts w:asciiTheme="minorHAnsi" w:hAnsiTheme="minorHAnsi" w:cstheme="minorHAnsi"/>
        </w:rPr>
        <w:t xml:space="preserve"> concentrations for Delhi (80km×80km domain)</w:t>
      </w:r>
      <w:bookmarkEnd w:id="54"/>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90"/>
        <w:gridCol w:w="4436"/>
      </w:tblGrid>
      <w:tr w:rsidR="0058758F" w:rsidRPr="00A40217" w14:paraId="5A6D5AB3" w14:textId="77777777" w:rsidTr="00F02FAB">
        <w:trPr>
          <w:trHeight w:val="3959"/>
        </w:trPr>
        <w:tc>
          <w:tcPr>
            <w:tcW w:w="4590" w:type="dxa"/>
          </w:tcPr>
          <w:p w14:paraId="7FC95FB7" w14:textId="77777777" w:rsidR="0058758F" w:rsidRPr="00A40217" w:rsidRDefault="0058758F" w:rsidP="00F02FAB">
            <w:pPr>
              <w:rPr>
                <w:rFonts w:cstheme="minorHAnsi"/>
                <w:szCs w:val="24"/>
              </w:rPr>
            </w:pPr>
            <w:r w:rsidRPr="00A40217">
              <w:rPr>
                <w:rFonts w:cstheme="minorHAnsi"/>
                <w:noProof/>
                <w:lang w:val="en-GB" w:eastAsia="en-GB"/>
              </w:rPr>
              <w:lastRenderedPageBreak/>
              <w:drawing>
                <wp:inline distT="0" distB="0" distL="0" distR="0" wp14:anchorId="69D164E2" wp14:editId="21181875">
                  <wp:extent cx="2743200" cy="2440599"/>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4861" r="5317"/>
                          <a:stretch/>
                        </pic:blipFill>
                        <pic:spPr bwMode="auto">
                          <a:xfrm>
                            <a:off x="0" y="0"/>
                            <a:ext cx="2743200" cy="2440599"/>
                          </a:xfrm>
                          <a:prstGeom prst="rect">
                            <a:avLst/>
                          </a:prstGeom>
                          <a:ln>
                            <a:noFill/>
                          </a:ln>
                          <a:extLst>
                            <a:ext uri="{53640926-AAD7-44D8-BBD7-CCE9431645EC}">
                              <a14:shadowObscured xmlns:a14="http://schemas.microsoft.com/office/drawing/2010/main"/>
                            </a:ext>
                          </a:extLst>
                        </pic:spPr>
                      </pic:pic>
                    </a:graphicData>
                  </a:graphic>
                </wp:inline>
              </w:drawing>
            </w:r>
          </w:p>
        </w:tc>
        <w:tc>
          <w:tcPr>
            <w:tcW w:w="4436" w:type="dxa"/>
          </w:tcPr>
          <w:p w14:paraId="6B69F1C7" w14:textId="77777777" w:rsidR="0058758F" w:rsidRPr="00A40217" w:rsidRDefault="0058758F" w:rsidP="00F02FAB">
            <w:pPr>
              <w:rPr>
                <w:rFonts w:cstheme="minorHAnsi"/>
                <w:szCs w:val="24"/>
              </w:rPr>
            </w:pPr>
            <w:r w:rsidRPr="00A40217">
              <w:rPr>
                <w:rFonts w:cstheme="minorHAnsi"/>
                <w:noProof/>
                <w:lang w:val="en-GB" w:eastAsia="en-GB"/>
              </w:rPr>
              <w:drawing>
                <wp:inline distT="0" distB="0" distL="0" distR="0" wp14:anchorId="346EF8A0" wp14:editId="2044EDD7">
                  <wp:extent cx="2743200" cy="2410860"/>
                  <wp:effectExtent l="0" t="0" r="0" b="889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5789" r="3913"/>
                          <a:stretch/>
                        </pic:blipFill>
                        <pic:spPr bwMode="auto">
                          <a:xfrm>
                            <a:off x="0" y="0"/>
                            <a:ext cx="2743200" cy="2410860"/>
                          </a:xfrm>
                          <a:prstGeom prst="rect">
                            <a:avLst/>
                          </a:prstGeom>
                          <a:ln>
                            <a:noFill/>
                          </a:ln>
                          <a:extLst>
                            <a:ext uri="{53640926-AAD7-44D8-BBD7-CCE9431645EC}">
                              <a14:shadowObscured xmlns:a14="http://schemas.microsoft.com/office/drawing/2010/main"/>
                            </a:ext>
                          </a:extLst>
                        </pic:spPr>
                      </pic:pic>
                    </a:graphicData>
                  </a:graphic>
                </wp:inline>
              </w:drawing>
            </w:r>
          </w:p>
        </w:tc>
      </w:tr>
      <w:tr w:rsidR="0058758F" w:rsidRPr="00A40217" w14:paraId="51CAADFE" w14:textId="77777777" w:rsidTr="00F02FAB">
        <w:trPr>
          <w:trHeight w:hRule="exact" w:val="882"/>
        </w:trPr>
        <w:tc>
          <w:tcPr>
            <w:tcW w:w="4590" w:type="dxa"/>
          </w:tcPr>
          <w:p w14:paraId="303D6529" w14:textId="77777777" w:rsidR="0058758F" w:rsidRPr="00A40217" w:rsidRDefault="0058758F" w:rsidP="0058758F">
            <w:pPr>
              <w:pStyle w:val="ListParagraph"/>
              <w:numPr>
                <w:ilvl w:val="2"/>
                <w:numId w:val="7"/>
              </w:numPr>
              <w:spacing w:after="0"/>
              <w:ind w:left="450"/>
              <w:rPr>
                <w:rFonts w:cstheme="minorHAnsi"/>
                <w:b/>
                <w:szCs w:val="24"/>
              </w:rPr>
            </w:pPr>
            <w:r w:rsidRPr="00A40217">
              <w:rPr>
                <w:rFonts w:cstheme="minorHAnsi"/>
                <w:b/>
                <w:szCs w:val="24"/>
              </w:rPr>
              <w:t>Population-weighted sectoral distribution of ambient PM</w:t>
            </w:r>
            <w:r w:rsidRPr="00A40217">
              <w:rPr>
                <w:rFonts w:cstheme="minorHAnsi"/>
                <w:b/>
                <w:szCs w:val="24"/>
                <w:vertAlign w:val="subscript"/>
              </w:rPr>
              <w:t>2.5</w:t>
            </w:r>
            <w:r w:rsidRPr="00A40217">
              <w:rPr>
                <w:rFonts w:cstheme="minorHAnsi"/>
                <w:b/>
                <w:szCs w:val="24"/>
              </w:rPr>
              <w:t xml:space="preserve"> concentrations</w:t>
            </w:r>
          </w:p>
        </w:tc>
        <w:tc>
          <w:tcPr>
            <w:tcW w:w="4436" w:type="dxa"/>
          </w:tcPr>
          <w:p w14:paraId="3E5EB175" w14:textId="77777777" w:rsidR="0058758F" w:rsidRPr="00A40217" w:rsidRDefault="0058758F" w:rsidP="0058758F">
            <w:pPr>
              <w:pStyle w:val="ListParagraph"/>
              <w:keepNext/>
              <w:numPr>
                <w:ilvl w:val="2"/>
                <w:numId w:val="7"/>
              </w:numPr>
              <w:ind w:left="300"/>
              <w:rPr>
                <w:rFonts w:cstheme="minorHAnsi"/>
                <w:b/>
                <w:szCs w:val="24"/>
              </w:rPr>
            </w:pPr>
            <w:r w:rsidRPr="00A40217">
              <w:rPr>
                <w:rFonts w:cstheme="minorHAnsi"/>
                <w:b/>
                <w:szCs w:val="24"/>
              </w:rPr>
              <w:t>Distribution of vehicular exhaust PM</w:t>
            </w:r>
            <w:r w:rsidRPr="00A40217">
              <w:rPr>
                <w:rFonts w:cstheme="minorHAnsi"/>
                <w:b/>
                <w:szCs w:val="24"/>
                <w:vertAlign w:val="subscript"/>
              </w:rPr>
              <w:t>2.5</w:t>
            </w:r>
            <w:r w:rsidRPr="00A40217">
              <w:rPr>
                <w:rFonts w:cstheme="minorHAnsi"/>
                <w:b/>
                <w:szCs w:val="24"/>
              </w:rPr>
              <w:t xml:space="preserve"> emissions/pollution among different vehicle types</w:t>
            </w:r>
          </w:p>
        </w:tc>
      </w:tr>
      <w:tr w:rsidR="0058758F" w:rsidRPr="00A40217" w14:paraId="7B20BEEF" w14:textId="77777777" w:rsidTr="00F02FAB">
        <w:tc>
          <w:tcPr>
            <w:tcW w:w="9026" w:type="dxa"/>
            <w:gridSpan w:val="2"/>
          </w:tcPr>
          <w:p w14:paraId="6781D6F7" w14:textId="77777777" w:rsidR="0058758F" w:rsidRPr="00A40217" w:rsidRDefault="0058758F" w:rsidP="00F02FAB">
            <w:pPr>
              <w:pStyle w:val="ListParagraph"/>
              <w:keepNext/>
              <w:ind w:left="300"/>
              <w:rPr>
                <w:rFonts w:cstheme="minorHAnsi"/>
                <w:b/>
                <w:szCs w:val="24"/>
              </w:rPr>
            </w:pPr>
            <w:r w:rsidRPr="00A40217">
              <w:rPr>
                <w:rFonts w:cstheme="minorHAnsi"/>
                <w:b/>
                <w:szCs w:val="24"/>
              </w:rPr>
              <w:t>Diffused sources—waste burning, household cooking, construction, diesel generator sets; industries— industries, brick kilns, and power plants</w:t>
            </w:r>
          </w:p>
        </w:tc>
      </w:tr>
    </w:tbl>
    <w:p w14:paraId="3249C4AC" w14:textId="53B35F4F" w:rsidR="0058758F" w:rsidRPr="00A40217" w:rsidRDefault="0058758F" w:rsidP="0058758F">
      <w:pPr>
        <w:pStyle w:val="Caption"/>
        <w:rPr>
          <w:rFonts w:asciiTheme="minorHAnsi" w:hAnsiTheme="minorHAnsi" w:cstheme="minorHAnsi"/>
        </w:rPr>
      </w:pPr>
      <w:bookmarkStart w:id="55" w:name="_Ref427077202"/>
      <w:bookmarkStart w:id="56" w:name="_Toc476818721"/>
      <w:r w:rsidRPr="00A40217">
        <w:rPr>
          <w:rFonts w:asciiTheme="minorHAnsi" w:hAnsiTheme="minorHAnsi" w:cstheme="minorHAnsi"/>
        </w:rPr>
        <w:t>Figure</w:t>
      </w:r>
      <w:bookmarkEnd w:id="55"/>
      <w:r w:rsidR="007C02D1" w:rsidRPr="00A40217">
        <w:rPr>
          <w:rFonts w:asciiTheme="minorHAnsi" w:hAnsiTheme="minorHAnsi" w:cstheme="minorHAnsi"/>
        </w:rPr>
        <w:t xml:space="preserve"> 13</w:t>
      </w:r>
      <w:r w:rsidRPr="00A40217">
        <w:rPr>
          <w:rFonts w:asciiTheme="minorHAnsi" w:hAnsiTheme="minorHAnsi" w:cstheme="minorHAnsi"/>
        </w:rPr>
        <w:t>: Sectoral distribution of ambient PM</w:t>
      </w:r>
      <w:r w:rsidRPr="00A40217">
        <w:rPr>
          <w:rFonts w:asciiTheme="minorHAnsi" w:hAnsiTheme="minorHAnsi" w:cstheme="minorHAnsi"/>
          <w:vertAlign w:val="subscript"/>
        </w:rPr>
        <w:t>2.5</w:t>
      </w:r>
      <w:r w:rsidRPr="00A40217">
        <w:rPr>
          <w:rFonts w:asciiTheme="minorHAnsi" w:hAnsiTheme="minorHAnsi" w:cstheme="minorHAnsi"/>
        </w:rPr>
        <w:t xml:space="preserve"> concentrations and distribution of vehicular-exhaust PM</w:t>
      </w:r>
      <w:r w:rsidRPr="00A40217">
        <w:rPr>
          <w:rFonts w:asciiTheme="minorHAnsi" w:hAnsiTheme="minorHAnsi" w:cstheme="minorHAnsi"/>
          <w:vertAlign w:val="subscript"/>
        </w:rPr>
        <w:t>2.5</w:t>
      </w:r>
      <w:r w:rsidRPr="00A40217">
        <w:rPr>
          <w:rFonts w:asciiTheme="minorHAnsi" w:hAnsiTheme="minorHAnsi" w:cstheme="minorHAnsi"/>
        </w:rPr>
        <w:t xml:space="preserve"> among different vehicle types</w:t>
      </w:r>
      <w:bookmarkEnd w:id="56"/>
    </w:p>
    <w:p w14:paraId="530AB90C" w14:textId="77777777" w:rsidR="0058758F" w:rsidRPr="00A40217" w:rsidRDefault="0058758F" w:rsidP="0058758F">
      <w:pPr>
        <w:pStyle w:val="Heading3"/>
        <w:rPr>
          <w:rFonts w:asciiTheme="minorHAnsi" w:hAnsiTheme="minorHAnsi" w:cstheme="minorHAnsi"/>
        </w:rPr>
      </w:pPr>
      <w:bookmarkStart w:id="57" w:name="_Toc477776544"/>
      <w:bookmarkStart w:id="58" w:name="_Toc85106188"/>
      <w:r w:rsidRPr="00A40217">
        <w:rPr>
          <w:rFonts w:asciiTheme="minorHAnsi" w:hAnsiTheme="minorHAnsi" w:cstheme="minorHAnsi"/>
        </w:rPr>
        <w:t>Spatial Distribution and Sector-specific Shares of PM</w:t>
      </w:r>
      <w:r w:rsidRPr="00A40217">
        <w:rPr>
          <w:rFonts w:asciiTheme="minorHAnsi" w:hAnsiTheme="minorHAnsi" w:cstheme="minorHAnsi"/>
          <w:vertAlign w:val="subscript"/>
        </w:rPr>
        <w:t>2.5</w:t>
      </w:r>
      <w:r w:rsidRPr="00A40217">
        <w:rPr>
          <w:rFonts w:asciiTheme="minorHAnsi" w:hAnsiTheme="minorHAnsi" w:cstheme="minorHAnsi"/>
        </w:rPr>
        <w:t xml:space="preserve"> Concentrations</w:t>
      </w:r>
      <w:bookmarkEnd w:id="50"/>
      <w:bookmarkEnd w:id="57"/>
      <w:bookmarkEnd w:id="58"/>
    </w:p>
    <w:p w14:paraId="5D69F4E6" w14:textId="77777777" w:rsidR="0058758F" w:rsidRPr="00A40217" w:rsidRDefault="0058758F" w:rsidP="00F24817">
      <w:pPr>
        <w:pStyle w:val="Heading4"/>
      </w:pPr>
      <w:r w:rsidRPr="00A40217">
        <w:t>Static Approach</w:t>
      </w:r>
    </w:p>
    <w:p w14:paraId="44E4F8D7" w14:textId="066C54F1" w:rsidR="0058758F" w:rsidRPr="00A40217" w:rsidRDefault="0058758F" w:rsidP="0058758F">
      <w:pPr>
        <w:rPr>
          <w:rFonts w:cstheme="minorHAnsi"/>
          <w:szCs w:val="24"/>
        </w:rPr>
      </w:pPr>
      <w:r w:rsidRPr="00A40217">
        <w:rPr>
          <w:rFonts w:cstheme="minorHAnsi"/>
        </w:rPr>
        <w:t>The annual-average modelled PM</w:t>
      </w:r>
      <w:r w:rsidRPr="00A40217">
        <w:rPr>
          <w:rFonts w:cstheme="minorHAnsi"/>
          <w:vertAlign w:val="subscript"/>
        </w:rPr>
        <w:t>2.5</w:t>
      </w:r>
      <w:r w:rsidRPr="00A40217">
        <w:rPr>
          <w:rFonts w:cstheme="minorHAnsi"/>
        </w:rPr>
        <w:t xml:space="preserve"> concentration and the gridded population is presented in </w:t>
      </w:r>
      <w:r w:rsidRPr="00A40217">
        <w:rPr>
          <w:rFonts w:cstheme="minorHAnsi"/>
        </w:rPr>
        <w:fldChar w:fldCharType="begin"/>
      </w:r>
      <w:r w:rsidRPr="00A40217">
        <w:rPr>
          <w:rFonts w:cstheme="minorHAnsi"/>
        </w:rPr>
        <w:instrText xml:space="preserve"> REF _Ref426992220 \h </w:instrText>
      </w:r>
      <w:r w:rsidR="00143D29" w:rsidRPr="00A40217">
        <w:rPr>
          <w:rFonts w:cstheme="minorHAnsi"/>
        </w:rPr>
        <w:instrText xml:space="preserve"> \* MERGEFORMAT </w:instrText>
      </w:r>
      <w:r w:rsidRPr="00A40217">
        <w:rPr>
          <w:rFonts w:cstheme="minorHAnsi"/>
        </w:rPr>
      </w:r>
      <w:r w:rsidRPr="00A40217">
        <w:rPr>
          <w:rFonts w:cstheme="minorHAnsi"/>
        </w:rPr>
        <w:fldChar w:fldCharType="separate"/>
      </w:r>
      <w:r w:rsidR="009161CE" w:rsidRPr="00A40217">
        <w:rPr>
          <w:rFonts w:cstheme="minorHAnsi"/>
        </w:rPr>
        <w:t xml:space="preserve">Figure </w:t>
      </w:r>
      <w:r w:rsidR="009161CE" w:rsidRPr="00A40217">
        <w:rPr>
          <w:rFonts w:cstheme="minorHAnsi"/>
          <w:noProof/>
        </w:rPr>
        <w:t>3</w:t>
      </w:r>
      <w:r w:rsidR="009161CE" w:rsidRPr="00A40217">
        <w:rPr>
          <w:rFonts w:cstheme="minorHAnsi"/>
          <w:noProof/>
        </w:rPr>
        <w:noBreakHyphen/>
        <w:t>6</w:t>
      </w:r>
      <w:r w:rsidRPr="00A40217">
        <w:rPr>
          <w:rFonts w:cstheme="minorHAnsi"/>
        </w:rPr>
        <w:fldChar w:fldCharType="end"/>
      </w:r>
      <w:r w:rsidRPr="00A40217">
        <w:rPr>
          <w:rFonts w:cstheme="minorHAnsi"/>
        </w:rPr>
        <w:t xml:space="preserve">. By superimposing the two layers, the </w:t>
      </w:r>
      <w:proofErr w:type="gramStart"/>
      <w:r w:rsidRPr="00A40217">
        <w:rPr>
          <w:rFonts w:cstheme="minorHAnsi"/>
        </w:rPr>
        <w:t>population-weighted</w:t>
      </w:r>
      <w:proofErr w:type="gramEnd"/>
      <w:r w:rsidRPr="00A40217">
        <w:rPr>
          <w:rFonts w:cstheme="minorHAnsi"/>
        </w:rPr>
        <w:t xml:space="preserve"> PM</w:t>
      </w:r>
      <w:r w:rsidRPr="00A40217">
        <w:rPr>
          <w:rFonts w:cstheme="minorHAnsi"/>
          <w:vertAlign w:val="subscript"/>
        </w:rPr>
        <w:t>2.5</w:t>
      </w:r>
      <w:r w:rsidRPr="00A40217">
        <w:rPr>
          <w:rFonts w:cstheme="minorHAnsi"/>
        </w:rPr>
        <w:t xml:space="preserve"> concentration in Delhi has been estimated as 83 </w:t>
      </w:r>
      <w:r w:rsidRPr="00A40217">
        <w:rPr>
          <w:rFonts w:cstheme="minorHAnsi"/>
          <w:szCs w:val="24"/>
        </w:rPr>
        <w:t>µg/m</w:t>
      </w:r>
      <w:r w:rsidRPr="00A40217">
        <w:rPr>
          <w:rFonts w:cstheme="minorHAnsi"/>
          <w:szCs w:val="24"/>
          <w:vertAlign w:val="superscript"/>
        </w:rPr>
        <w:t>3</w:t>
      </w:r>
      <w:r w:rsidRPr="00A40217">
        <w:rPr>
          <w:rFonts w:cstheme="minorHAnsi"/>
          <w:szCs w:val="24"/>
        </w:rPr>
        <w:t xml:space="preserve">. Population-weighted average contribution from vehicular exhaust is 30% and from dust re-suspension is 20% (see </w:t>
      </w:r>
      <w:r w:rsidR="007C02D1" w:rsidRPr="00A40217">
        <w:rPr>
          <w:rFonts w:cstheme="minorHAnsi"/>
        </w:rPr>
        <w:t xml:space="preserve">Figure 13 </w:t>
      </w:r>
      <w:r w:rsidRPr="00A40217">
        <w:rPr>
          <w:rFonts w:cstheme="minorHAnsi"/>
        </w:rPr>
        <w:t>(</w:t>
      </w:r>
      <w:r w:rsidRPr="00A40217">
        <w:rPr>
          <w:rFonts w:cstheme="minorHAnsi"/>
          <w:szCs w:val="24"/>
        </w:rPr>
        <w:t xml:space="preserve">a)). Up to half the population is exposed to concentrations with vehicular exhaust contributing 30% or less, and the maximum contribution of vehicular exhaust is 45%. </w:t>
      </w:r>
    </w:p>
    <w:p w14:paraId="1F2B2F6B" w14:textId="05DEEC00" w:rsidR="0058758F" w:rsidRPr="00A40217" w:rsidRDefault="0058758F" w:rsidP="0058758F">
      <w:pPr>
        <w:rPr>
          <w:rFonts w:cstheme="minorHAnsi"/>
          <w:szCs w:val="24"/>
        </w:rPr>
      </w:pPr>
      <w:r w:rsidRPr="00A40217">
        <w:rPr>
          <w:rFonts w:cstheme="minorHAnsi"/>
          <w:szCs w:val="24"/>
        </w:rPr>
        <w:t xml:space="preserve">Assuming that vehicle-specific shares of vehicular-exhaust pollution are </w:t>
      </w:r>
      <w:proofErr w:type="gramStart"/>
      <w:r w:rsidRPr="00A40217">
        <w:rPr>
          <w:rFonts w:cstheme="minorHAnsi"/>
          <w:szCs w:val="24"/>
        </w:rPr>
        <w:t>similar to</w:t>
      </w:r>
      <w:proofErr w:type="gramEnd"/>
      <w:r w:rsidRPr="00A40217">
        <w:rPr>
          <w:rFonts w:cstheme="minorHAnsi"/>
          <w:szCs w:val="24"/>
        </w:rPr>
        <w:t xml:space="preserve"> respective shares in the PM</w:t>
      </w:r>
      <w:r w:rsidRPr="00A40217">
        <w:rPr>
          <w:rFonts w:cstheme="minorHAnsi"/>
          <w:szCs w:val="24"/>
          <w:vertAlign w:val="subscript"/>
        </w:rPr>
        <w:t>2.5</w:t>
      </w:r>
      <w:r w:rsidRPr="00A40217">
        <w:rPr>
          <w:rFonts w:cstheme="minorHAnsi"/>
          <w:szCs w:val="24"/>
        </w:rPr>
        <w:t xml:space="preserve"> pollution, the distribution of PM</w:t>
      </w:r>
      <w:r w:rsidRPr="00A40217">
        <w:rPr>
          <w:rFonts w:cstheme="minorHAnsi"/>
          <w:szCs w:val="24"/>
          <w:vertAlign w:val="subscript"/>
        </w:rPr>
        <w:t>2.5</w:t>
      </w:r>
      <w:r w:rsidRPr="00A40217">
        <w:rPr>
          <w:rFonts w:cstheme="minorHAnsi"/>
          <w:szCs w:val="24"/>
        </w:rPr>
        <w:t xml:space="preserve"> pollution from vehicular exhaust among different vehicle types is shown </w:t>
      </w:r>
      <w:r w:rsidR="007C02D1" w:rsidRPr="00A40217">
        <w:rPr>
          <w:rFonts w:cstheme="minorHAnsi"/>
          <w:szCs w:val="24"/>
        </w:rPr>
        <w:t>in Figure 13 (b)</w:t>
      </w:r>
      <w:r w:rsidRPr="00A40217">
        <w:rPr>
          <w:rFonts w:cstheme="minorHAnsi"/>
          <w:szCs w:val="24"/>
        </w:rPr>
        <w:t>. The sector-specific share in pollution and vehicle-specific share in emissions can be used to estimate vehicle-specific share of PM</w:t>
      </w:r>
      <w:r w:rsidRPr="00A40217">
        <w:rPr>
          <w:rFonts w:cstheme="minorHAnsi"/>
          <w:szCs w:val="24"/>
          <w:vertAlign w:val="subscript"/>
        </w:rPr>
        <w:t>2.5</w:t>
      </w:r>
      <w:r w:rsidRPr="00A40217">
        <w:rPr>
          <w:rFonts w:cstheme="minorHAnsi"/>
          <w:szCs w:val="24"/>
        </w:rPr>
        <w:t xml:space="preserve"> pollution. For a 36% share of passenger transport modes (2W, 4W, 3W, bus) among vehicular-exhaust emissions, and a 30% share of vehicular-exhaust in ambient PM</w:t>
      </w:r>
      <w:r w:rsidRPr="00A40217">
        <w:rPr>
          <w:rFonts w:cstheme="minorHAnsi"/>
          <w:szCs w:val="24"/>
          <w:vertAlign w:val="subscript"/>
        </w:rPr>
        <w:t>2.5</w:t>
      </w:r>
      <w:r w:rsidRPr="00A40217">
        <w:rPr>
          <w:rFonts w:cstheme="minorHAnsi"/>
          <w:szCs w:val="24"/>
        </w:rPr>
        <w:t xml:space="preserve"> pollution, 11% (36%×30%) of total PM</w:t>
      </w:r>
      <w:r w:rsidRPr="00A40217">
        <w:rPr>
          <w:rFonts w:cstheme="minorHAnsi"/>
          <w:szCs w:val="24"/>
          <w:vertAlign w:val="subscript"/>
        </w:rPr>
        <w:t>2.5</w:t>
      </w:r>
      <w:r w:rsidRPr="00A40217">
        <w:rPr>
          <w:rFonts w:cstheme="minorHAnsi"/>
          <w:szCs w:val="24"/>
        </w:rPr>
        <w:t xml:space="preserve"> pollution is contributed by vehicular exhaust from passenger vehicles (2W, 4W, 3W, bus) and 19% from goods vehicles.  </w:t>
      </w:r>
    </w:p>
    <w:p w14:paraId="56C6D125" w14:textId="77777777" w:rsidR="0058758F" w:rsidRPr="00A40217" w:rsidRDefault="0058758F" w:rsidP="0058758F">
      <w:pPr>
        <w:keepNext/>
        <w:jc w:val="center"/>
        <w:rPr>
          <w:rFonts w:cstheme="minorHAnsi"/>
        </w:rPr>
      </w:pPr>
      <w:r w:rsidRPr="00A40217">
        <w:rPr>
          <w:rFonts w:cstheme="minorHAnsi"/>
          <w:noProof/>
          <w:lang w:val="en-GB" w:eastAsia="en-GB"/>
        </w:rPr>
        <w:lastRenderedPageBreak/>
        <w:drawing>
          <wp:inline distT="0" distB="0" distL="0" distR="0" wp14:anchorId="0F65112C" wp14:editId="33508413">
            <wp:extent cx="5995475" cy="5685183"/>
            <wp:effectExtent l="0" t="0" r="5715" b="0"/>
            <wp:docPr id="2051" name="Picture 3" descr="D:\0 Work\PhD@IITD\Dispersion Modeling Delhi ATMOS\new ATMOS matrices - 2014-11-08\Transport\trip_destination_pollution.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descr="D:\0 Work\PhD@IITD\Dispersion Modeling Delhi ATMOS\new ATMOS matrices - 2014-11-08\Transport\trip_destination_pollution.tiff"/>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808" t="413" r="1090" b="12651"/>
                    <a:stretch/>
                  </pic:blipFill>
                  <pic:spPr bwMode="auto">
                    <a:xfrm>
                      <a:off x="0" y="0"/>
                      <a:ext cx="6001376" cy="5690779"/>
                    </a:xfrm>
                    <a:prstGeom prst="rect">
                      <a:avLst/>
                    </a:prstGeom>
                    <a:noFill/>
                    <a:ln>
                      <a:noFill/>
                    </a:ln>
                    <a:extLst>
                      <a:ext uri="{53640926-AAD7-44D8-BBD7-CCE9431645EC}">
                        <a14:shadowObscured xmlns:a14="http://schemas.microsoft.com/office/drawing/2010/main"/>
                      </a:ext>
                    </a:extLst>
                  </pic:spPr>
                </pic:pic>
              </a:graphicData>
            </a:graphic>
          </wp:inline>
        </w:drawing>
      </w:r>
    </w:p>
    <w:p w14:paraId="245257E7" w14:textId="167486F7" w:rsidR="0058758F" w:rsidRPr="00A40217" w:rsidRDefault="0058758F" w:rsidP="0058758F">
      <w:pPr>
        <w:pStyle w:val="Caption"/>
        <w:jc w:val="center"/>
        <w:rPr>
          <w:rFonts w:asciiTheme="minorHAnsi" w:hAnsiTheme="minorHAnsi" w:cstheme="minorHAnsi"/>
        </w:rPr>
      </w:pPr>
      <w:bookmarkStart w:id="59" w:name="_Ref428898224"/>
      <w:bookmarkStart w:id="60" w:name="_Toc476818722"/>
      <w:r w:rsidRPr="00A40217">
        <w:rPr>
          <w:rFonts w:asciiTheme="minorHAnsi" w:hAnsiTheme="minorHAnsi" w:cstheme="minorHAnsi"/>
        </w:rPr>
        <w:t>Figure</w:t>
      </w:r>
      <w:bookmarkEnd w:id="59"/>
      <w:r w:rsidR="006C6802" w:rsidRPr="00A40217">
        <w:rPr>
          <w:rFonts w:asciiTheme="minorHAnsi" w:hAnsiTheme="minorHAnsi" w:cstheme="minorHAnsi"/>
        </w:rPr>
        <w:t xml:space="preserve"> 14</w:t>
      </w:r>
      <w:r w:rsidRPr="00A40217">
        <w:rPr>
          <w:rFonts w:asciiTheme="minorHAnsi" w:hAnsiTheme="minorHAnsi" w:cstheme="minorHAnsi"/>
        </w:rPr>
        <w:t>: Spatial mapping of population superimposed over spatial distribution of PM2.5 pollution</w:t>
      </w:r>
      <w:bookmarkEnd w:id="60"/>
    </w:p>
    <w:p w14:paraId="0602FC22" w14:textId="77777777" w:rsidR="0058758F" w:rsidRPr="00A40217" w:rsidRDefault="0058758F" w:rsidP="00F24817">
      <w:pPr>
        <w:pStyle w:val="Heading4"/>
      </w:pPr>
      <w:r w:rsidRPr="00A40217">
        <w:t>Dynamic Approach</w:t>
      </w:r>
    </w:p>
    <w:p w14:paraId="3B8F5535" w14:textId="0ACBD552" w:rsidR="0058758F" w:rsidRPr="00A40217" w:rsidRDefault="006C6802" w:rsidP="0058758F">
      <w:pPr>
        <w:rPr>
          <w:rFonts w:cstheme="minorHAnsi"/>
          <w:szCs w:val="24"/>
        </w:rPr>
      </w:pPr>
      <w:r w:rsidRPr="00A40217">
        <w:rPr>
          <w:rFonts w:cstheme="minorHAnsi"/>
          <w:szCs w:val="24"/>
        </w:rPr>
        <w:t xml:space="preserve">Figure 14 </w:t>
      </w:r>
      <w:r w:rsidR="0058758F" w:rsidRPr="00A40217">
        <w:rPr>
          <w:rFonts w:cstheme="minorHAnsi"/>
          <w:szCs w:val="24"/>
        </w:rPr>
        <w:t>shows within-day spatial movement of population (sampled individuals) superimposed over spatial distribution of PM</w:t>
      </w:r>
      <w:r w:rsidR="0058758F" w:rsidRPr="00A40217">
        <w:rPr>
          <w:rFonts w:cstheme="minorHAnsi"/>
          <w:szCs w:val="24"/>
          <w:vertAlign w:val="subscript"/>
        </w:rPr>
        <w:t>2.5</w:t>
      </w:r>
      <w:r w:rsidR="0058758F" w:rsidRPr="00A40217">
        <w:rPr>
          <w:rFonts w:cstheme="minorHAnsi"/>
          <w:szCs w:val="24"/>
        </w:rPr>
        <w:t xml:space="preserve"> pollution. The trip destinations shown in the figure includes entire-day activity locations visited by all the individuals in the sample who reported a trip. The figure also shows the residential localities of the sampled population, highlighting the difference between a static and dynamic approach; the former assumes that individuals spend the entire day at their home location. Using dynamic approach, when spatio-temporal movement of population is </w:t>
      </w:r>
      <w:proofErr w:type="gramStart"/>
      <w:r w:rsidR="0058758F" w:rsidRPr="00A40217">
        <w:rPr>
          <w:rFonts w:cstheme="minorHAnsi"/>
          <w:szCs w:val="24"/>
        </w:rPr>
        <w:t>taken into account</w:t>
      </w:r>
      <w:proofErr w:type="gramEnd"/>
      <w:r w:rsidR="0058758F" w:rsidRPr="00A40217">
        <w:rPr>
          <w:rFonts w:cstheme="minorHAnsi"/>
          <w:szCs w:val="24"/>
        </w:rPr>
        <w:t>, average PM</w:t>
      </w:r>
      <w:r w:rsidR="0058758F" w:rsidRPr="00A40217">
        <w:rPr>
          <w:rFonts w:cstheme="minorHAnsi"/>
          <w:szCs w:val="24"/>
          <w:vertAlign w:val="subscript"/>
        </w:rPr>
        <w:t>2.5</w:t>
      </w:r>
      <w:r w:rsidR="0058758F" w:rsidRPr="00A40217">
        <w:rPr>
          <w:rFonts w:cstheme="minorHAnsi"/>
          <w:szCs w:val="24"/>
        </w:rPr>
        <w:t xml:space="preserve"> concentration is 81µg/m</w:t>
      </w:r>
      <w:r w:rsidR="0058758F" w:rsidRPr="00A40217">
        <w:rPr>
          <w:rFonts w:cstheme="minorHAnsi"/>
          <w:szCs w:val="24"/>
          <w:vertAlign w:val="superscript"/>
        </w:rPr>
        <w:t>3</w:t>
      </w:r>
      <w:r w:rsidR="0058758F" w:rsidRPr="00A40217">
        <w:rPr>
          <w:rFonts w:cstheme="minorHAnsi"/>
          <w:szCs w:val="24"/>
        </w:rPr>
        <w:t>. Comparing the static estimate with the dynamic estimate, the two differ by 2 µg/m</w:t>
      </w:r>
      <w:r w:rsidR="0058758F" w:rsidRPr="00A40217">
        <w:rPr>
          <w:rFonts w:cstheme="minorHAnsi"/>
          <w:szCs w:val="24"/>
          <w:vertAlign w:val="superscript"/>
        </w:rPr>
        <w:t>3</w:t>
      </w:r>
      <w:r w:rsidR="0058758F" w:rsidRPr="00A40217">
        <w:rPr>
          <w:rFonts w:cstheme="minorHAnsi"/>
          <w:szCs w:val="24"/>
        </w:rPr>
        <w:t>, which is 2.5% of the static estimate. Thus, the dynamic and static assessment are similar.</w:t>
      </w:r>
    </w:p>
    <w:p w14:paraId="04C49638" w14:textId="266EECEC" w:rsidR="0058758F" w:rsidRPr="00A40217" w:rsidRDefault="0058758F" w:rsidP="0058758F">
      <w:pPr>
        <w:rPr>
          <w:rFonts w:cstheme="minorHAnsi"/>
          <w:szCs w:val="24"/>
        </w:rPr>
      </w:pPr>
      <w:r w:rsidRPr="00A40217">
        <w:rPr>
          <w:rFonts w:cstheme="minorHAnsi"/>
          <w:szCs w:val="24"/>
        </w:rPr>
        <w:t>To assess the effect of mode of travel on average PM</w:t>
      </w:r>
      <w:r w:rsidRPr="00A40217">
        <w:rPr>
          <w:rFonts w:cstheme="minorHAnsi"/>
          <w:szCs w:val="24"/>
          <w:vertAlign w:val="subscript"/>
        </w:rPr>
        <w:t>2.5</w:t>
      </w:r>
      <w:r w:rsidRPr="00A40217">
        <w:rPr>
          <w:rFonts w:cstheme="minorHAnsi"/>
          <w:szCs w:val="24"/>
        </w:rPr>
        <w:t xml:space="preserve"> exposure of the population, the dynamic approach was modified, it was assumed that the mode of travel did not make any difference on the </w:t>
      </w:r>
      <w:r w:rsidRPr="00A40217">
        <w:rPr>
          <w:rFonts w:cstheme="minorHAnsi"/>
          <w:szCs w:val="24"/>
        </w:rPr>
        <w:lastRenderedPageBreak/>
        <w:t xml:space="preserve">exposure and in-vehicle concentrations are equal to that of ambient locations, which effectively means that </w:t>
      </w:r>
      <m:oMath>
        <m:r>
          <m:rPr>
            <m:sty m:val="b"/>
          </m:rPr>
          <w:rPr>
            <w:rFonts w:ascii="Cambria Math" w:hAnsi="Cambria Math" w:cstheme="minorHAnsi"/>
            <w:vertAlign w:val="subscript"/>
          </w:rPr>
          <m:t>Ƴ</m:t>
        </m:r>
      </m:oMath>
      <w:r w:rsidRPr="00A40217">
        <w:rPr>
          <w:rFonts w:cstheme="minorHAnsi"/>
          <w:szCs w:val="24"/>
        </w:rPr>
        <w:t xml:space="preserve"> =1 for all modes. We refer to this as modified dynamic approach. The average PM</w:t>
      </w:r>
      <w:r w:rsidRPr="00A40217">
        <w:rPr>
          <w:rFonts w:cstheme="minorHAnsi"/>
          <w:szCs w:val="24"/>
          <w:vertAlign w:val="subscript"/>
        </w:rPr>
        <w:t>2.5</w:t>
      </w:r>
      <w:r w:rsidRPr="00A40217">
        <w:rPr>
          <w:rFonts w:cstheme="minorHAnsi"/>
          <w:szCs w:val="24"/>
        </w:rPr>
        <w:t xml:space="preserve"> concentration is estimated to be 78 µg/m</w:t>
      </w:r>
      <w:r w:rsidRPr="00A40217">
        <w:rPr>
          <w:rFonts w:cstheme="minorHAnsi"/>
          <w:szCs w:val="24"/>
          <w:vertAlign w:val="superscript"/>
        </w:rPr>
        <w:t xml:space="preserve">3 </w:t>
      </w:r>
      <w:r w:rsidRPr="00A40217">
        <w:rPr>
          <w:rFonts w:cstheme="minorHAnsi"/>
          <w:szCs w:val="24"/>
        </w:rPr>
        <w:t>for modified approach which differs from dynamic approach by 3 µg/m</w:t>
      </w:r>
      <w:r w:rsidRPr="00A40217">
        <w:rPr>
          <w:rFonts w:cstheme="minorHAnsi"/>
          <w:szCs w:val="24"/>
          <w:vertAlign w:val="superscript"/>
        </w:rPr>
        <w:t>3</w:t>
      </w:r>
      <w:r w:rsidRPr="00A40217">
        <w:rPr>
          <w:rFonts w:cstheme="minorHAnsi"/>
          <w:szCs w:val="24"/>
        </w:rPr>
        <w:t xml:space="preserve"> (see</w:t>
      </w:r>
      <w:r w:rsidR="006C6802" w:rsidRPr="00A40217">
        <w:rPr>
          <w:rFonts w:cstheme="minorHAnsi"/>
          <w:szCs w:val="24"/>
        </w:rPr>
        <w:t xml:space="preserve"> Table 8</w:t>
      </w:r>
      <w:r w:rsidRPr="00A40217">
        <w:rPr>
          <w:rFonts w:cstheme="minorHAnsi"/>
          <w:szCs w:val="24"/>
        </w:rPr>
        <w:t>). Clearly, at the population level, on-road travel makes a difference of less than 4% in pollution exposure.</w:t>
      </w:r>
    </w:p>
    <w:p w14:paraId="04C38C28" w14:textId="29366099" w:rsidR="0058758F" w:rsidRPr="00A40217" w:rsidRDefault="0058758F" w:rsidP="0058758F">
      <w:pPr>
        <w:pStyle w:val="Caption"/>
        <w:keepNext/>
        <w:rPr>
          <w:rFonts w:asciiTheme="minorHAnsi" w:hAnsiTheme="minorHAnsi" w:cstheme="minorHAnsi"/>
        </w:rPr>
      </w:pPr>
      <w:bookmarkStart w:id="61" w:name="_Ref470504099"/>
      <w:bookmarkStart w:id="62" w:name="_Toc476818665"/>
      <w:r w:rsidRPr="00A40217">
        <w:rPr>
          <w:rFonts w:asciiTheme="minorHAnsi" w:hAnsiTheme="minorHAnsi" w:cstheme="minorHAnsi"/>
        </w:rPr>
        <w:t>Table</w:t>
      </w:r>
      <w:bookmarkEnd w:id="61"/>
      <w:r w:rsidR="00D3243D" w:rsidRPr="00A40217">
        <w:rPr>
          <w:rFonts w:asciiTheme="minorHAnsi" w:hAnsiTheme="minorHAnsi" w:cstheme="minorHAnsi"/>
        </w:rPr>
        <w:t xml:space="preserve"> 8</w:t>
      </w:r>
      <w:r w:rsidRPr="00A40217">
        <w:rPr>
          <w:rFonts w:asciiTheme="minorHAnsi" w:hAnsiTheme="minorHAnsi" w:cstheme="minorHAnsi"/>
        </w:rPr>
        <w:t>: Different Approaches to Estimate Population Exposure to PM</w:t>
      </w:r>
      <w:r w:rsidRPr="00A40217">
        <w:rPr>
          <w:rFonts w:asciiTheme="minorHAnsi" w:hAnsiTheme="minorHAnsi" w:cstheme="minorHAnsi"/>
          <w:vertAlign w:val="subscript"/>
        </w:rPr>
        <w:t>2.5</w:t>
      </w:r>
      <w:r w:rsidRPr="00A40217">
        <w:rPr>
          <w:rFonts w:asciiTheme="minorHAnsi" w:hAnsiTheme="minorHAnsi" w:cstheme="minorHAnsi"/>
        </w:rPr>
        <w:t xml:space="preserve"> Pollution</w:t>
      </w:r>
      <w:bookmarkEnd w:id="62"/>
    </w:p>
    <w:tbl>
      <w:tblPr>
        <w:tblStyle w:val="TableGrid"/>
        <w:tblW w:w="0" w:type="auto"/>
        <w:tblLook w:val="04A0" w:firstRow="1" w:lastRow="0" w:firstColumn="1" w:lastColumn="0" w:noHBand="0" w:noVBand="1"/>
      </w:tblPr>
      <w:tblGrid>
        <w:gridCol w:w="1975"/>
        <w:gridCol w:w="4590"/>
        <w:gridCol w:w="2451"/>
      </w:tblGrid>
      <w:tr w:rsidR="0058758F" w:rsidRPr="00A40217" w14:paraId="317C968B" w14:textId="77777777" w:rsidTr="00F02FAB">
        <w:tc>
          <w:tcPr>
            <w:tcW w:w="1975" w:type="dxa"/>
          </w:tcPr>
          <w:p w14:paraId="5CE49BA4" w14:textId="77777777" w:rsidR="0058758F" w:rsidRPr="00A40217" w:rsidRDefault="0058758F" w:rsidP="00F02FAB">
            <w:pPr>
              <w:rPr>
                <w:rFonts w:cstheme="minorHAnsi"/>
                <w:b/>
              </w:rPr>
            </w:pPr>
            <w:r w:rsidRPr="00A40217">
              <w:rPr>
                <w:rFonts w:cstheme="minorHAnsi"/>
                <w:b/>
              </w:rPr>
              <w:t>Approach</w:t>
            </w:r>
          </w:p>
        </w:tc>
        <w:tc>
          <w:tcPr>
            <w:tcW w:w="4590" w:type="dxa"/>
          </w:tcPr>
          <w:p w14:paraId="4933DCDC" w14:textId="77777777" w:rsidR="0058758F" w:rsidRPr="00A40217" w:rsidRDefault="0058758F" w:rsidP="00F02FAB">
            <w:pPr>
              <w:rPr>
                <w:rFonts w:cstheme="minorHAnsi"/>
                <w:b/>
              </w:rPr>
            </w:pPr>
            <w:r w:rsidRPr="00A40217">
              <w:rPr>
                <w:rFonts w:cstheme="minorHAnsi"/>
                <w:b/>
              </w:rPr>
              <w:t xml:space="preserve">Description </w:t>
            </w:r>
          </w:p>
        </w:tc>
        <w:tc>
          <w:tcPr>
            <w:tcW w:w="2451" w:type="dxa"/>
          </w:tcPr>
          <w:p w14:paraId="65ACCE8B" w14:textId="77777777" w:rsidR="0058758F" w:rsidRPr="00A40217" w:rsidRDefault="0058758F" w:rsidP="00F02FAB">
            <w:pPr>
              <w:rPr>
                <w:rFonts w:cstheme="minorHAnsi"/>
                <w:b/>
              </w:rPr>
            </w:pPr>
            <w:r w:rsidRPr="00A40217">
              <w:rPr>
                <w:rFonts w:cstheme="minorHAnsi"/>
                <w:b/>
              </w:rPr>
              <w:t>Population-average PM</w:t>
            </w:r>
            <w:r w:rsidRPr="00A40217">
              <w:rPr>
                <w:rFonts w:cstheme="minorHAnsi"/>
                <w:b/>
                <w:vertAlign w:val="subscript"/>
              </w:rPr>
              <w:t>2.5</w:t>
            </w:r>
            <w:r w:rsidRPr="00A40217">
              <w:rPr>
                <w:rFonts w:cstheme="minorHAnsi"/>
                <w:b/>
              </w:rPr>
              <w:t xml:space="preserve"> exposure </w:t>
            </w:r>
          </w:p>
        </w:tc>
      </w:tr>
      <w:tr w:rsidR="0058758F" w:rsidRPr="00A40217" w14:paraId="30A76193" w14:textId="77777777" w:rsidTr="00F02FAB">
        <w:tc>
          <w:tcPr>
            <w:tcW w:w="1975" w:type="dxa"/>
          </w:tcPr>
          <w:p w14:paraId="13A8297E" w14:textId="77777777" w:rsidR="0058758F" w:rsidRPr="00A40217" w:rsidRDefault="0058758F" w:rsidP="00F02FAB">
            <w:pPr>
              <w:rPr>
                <w:rFonts w:cstheme="minorHAnsi"/>
              </w:rPr>
            </w:pPr>
            <w:r w:rsidRPr="00A40217">
              <w:rPr>
                <w:rFonts w:cstheme="minorHAnsi"/>
              </w:rPr>
              <w:t>Static Approach</w:t>
            </w:r>
          </w:p>
        </w:tc>
        <w:tc>
          <w:tcPr>
            <w:tcW w:w="4590" w:type="dxa"/>
          </w:tcPr>
          <w:p w14:paraId="354C75D4" w14:textId="77777777" w:rsidR="0058758F" w:rsidRPr="00A40217" w:rsidRDefault="0058758F" w:rsidP="00F02FAB">
            <w:pPr>
              <w:rPr>
                <w:rFonts w:cstheme="minorHAnsi"/>
              </w:rPr>
            </w:pPr>
            <w:r w:rsidRPr="00A40217">
              <w:rPr>
                <w:rFonts w:cstheme="minorHAnsi"/>
              </w:rPr>
              <w:t xml:space="preserve">Assumes that population is static at their residential location </w:t>
            </w:r>
            <w:proofErr w:type="gramStart"/>
            <w:r w:rsidRPr="00A40217">
              <w:rPr>
                <w:rFonts w:cstheme="minorHAnsi"/>
              </w:rPr>
              <w:t>throughout  the</w:t>
            </w:r>
            <w:proofErr w:type="gramEnd"/>
            <w:r w:rsidRPr="00A40217">
              <w:rPr>
                <w:rFonts w:cstheme="minorHAnsi"/>
              </w:rPr>
              <w:t xml:space="preserve"> day</w:t>
            </w:r>
          </w:p>
        </w:tc>
        <w:tc>
          <w:tcPr>
            <w:tcW w:w="2451" w:type="dxa"/>
          </w:tcPr>
          <w:p w14:paraId="5151228D" w14:textId="77777777" w:rsidR="0058758F" w:rsidRPr="00A40217" w:rsidRDefault="0058758F" w:rsidP="00F02FAB">
            <w:pPr>
              <w:rPr>
                <w:rFonts w:cstheme="minorHAnsi"/>
              </w:rPr>
            </w:pPr>
            <w:r w:rsidRPr="00A40217">
              <w:rPr>
                <w:rFonts w:cstheme="minorHAnsi"/>
              </w:rPr>
              <w:t>83 µg/m</w:t>
            </w:r>
            <w:r w:rsidRPr="00A40217">
              <w:rPr>
                <w:rFonts w:cstheme="minorHAnsi"/>
                <w:vertAlign w:val="superscript"/>
              </w:rPr>
              <w:t>3</w:t>
            </w:r>
          </w:p>
        </w:tc>
      </w:tr>
      <w:tr w:rsidR="0058758F" w:rsidRPr="00A40217" w14:paraId="2916AF62" w14:textId="77777777" w:rsidTr="00F02FAB">
        <w:tc>
          <w:tcPr>
            <w:tcW w:w="1975" w:type="dxa"/>
          </w:tcPr>
          <w:p w14:paraId="205722E4" w14:textId="77777777" w:rsidR="0058758F" w:rsidRPr="00A40217" w:rsidRDefault="0058758F" w:rsidP="00F02FAB">
            <w:pPr>
              <w:rPr>
                <w:rFonts w:cstheme="minorHAnsi"/>
              </w:rPr>
            </w:pPr>
            <w:r w:rsidRPr="00A40217">
              <w:rPr>
                <w:rFonts w:cstheme="minorHAnsi"/>
              </w:rPr>
              <w:t>Dynamic Approach</w:t>
            </w:r>
          </w:p>
        </w:tc>
        <w:tc>
          <w:tcPr>
            <w:tcW w:w="4590" w:type="dxa"/>
          </w:tcPr>
          <w:p w14:paraId="49E23A2D" w14:textId="77777777" w:rsidR="0058758F" w:rsidRPr="00A40217" w:rsidRDefault="0058758F" w:rsidP="00F02FAB">
            <w:pPr>
              <w:rPr>
                <w:rFonts w:cstheme="minorHAnsi"/>
              </w:rPr>
            </w:pPr>
            <w:r w:rsidRPr="00A40217">
              <w:rPr>
                <w:rFonts w:cstheme="minorHAnsi"/>
              </w:rPr>
              <w:t>Accounts for within-day movement of individuals from one location to another and higher exposure during on-road travel</w:t>
            </w:r>
          </w:p>
        </w:tc>
        <w:tc>
          <w:tcPr>
            <w:tcW w:w="2451" w:type="dxa"/>
          </w:tcPr>
          <w:p w14:paraId="06DEB6C7" w14:textId="77777777" w:rsidR="0058758F" w:rsidRPr="00A40217" w:rsidRDefault="0058758F" w:rsidP="00F02FAB">
            <w:pPr>
              <w:rPr>
                <w:rFonts w:cstheme="minorHAnsi"/>
              </w:rPr>
            </w:pPr>
            <w:r w:rsidRPr="00A40217">
              <w:rPr>
                <w:rFonts w:cstheme="minorHAnsi"/>
              </w:rPr>
              <w:t>81µg/m</w:t>
            </w:r>
            <w:r w:rsidRPr="00A40217">
              <w:rPr>
                <w:rFonts w:cstheme="minorHAnsi"/>
                <w:vertAlign w:val="superscript"/>
              </w:rPr>
              <w:t>3</w:t>
            </w:r>
          </w:p>
        </w:tc>
      </w:tr>
      <w:tr w:rsidR="0058758F" w:rsidRPr="00A40217" w14:paraId="1E36ABBA" w14:textId="77777777" w:rsidTr="00F02FAB">
        <w:tc>
          <w:tcPr>
            <w:tcW w:w="1975" w:type="dxa"/>
          </w:tcPr>
          <w:p w14:paraId="66531A31" w14:textId="77777777" w:rsidR="0058758F" w:rsidRPr="00A40217" w:rsidRDefault="0058758F" w:rsidP="00F02FAB">
            <w:pPr>
              <w:rPr>
                <w:rFonts w:cstheme="minorHAnsi"/>
              </w:rPr>
            </w:pPr>
            <w:r w:rsidRPr="00A40217">
              <w:rPr>
                <w:rFonts w:cstheme="minorHAnsi"/>
              </w:rPr>
              <w:t>Modified Dynamic Approach</w:t>
            </w:r>
          </w:p>
        </w:tc>
        <w:tc>
          <w:tcPr>
            <w:tcW w:w="4590" w:type="dxa"/>
          </w:tcPr>
          <w:p w14:paraId="1D20B09B" w14:textId="77777777" w:rsidR="0058758F" w:rsidRPr="00A40217" w:rsidRDefault="0058758F" w:rsidP="00F02FAB">
            <w:pPr>
              <w:rPr>
                <w:rFonts w:cstheme="minorHAnsi"/>
              </w:rPr>
            </w:pPr>
            <w:r w:rsidRPr="00A40217">
              <w:rPr>
                <w:rFonts w:cstheme="minorHAnsi"/>
              </w:rPr>
              <w:t>Accounts for within-day movement of individuals from one location to another, however, assumes that exposure during travel is same as in ambient location</w:t>
            </w:r>
          </w:p>
        </w:tc>
        <w:tc>
          <w:tcPr>
            <w:tcW w:w="2451" w:type="dxa"/>
          </w:tcPr>
          <w:p w14:paraId="0A23E5E1" w14:textId="77777777" w:rsidR="0058758F" w:rsidRPr="00A40217" w:rsidRDefault="0058758F" w:rsidP="00F02FAB">
            <w:pPr>
              <w:rPr>
                <w:rFonts w:cstheme="minorHAnsi"/>
              </w:rPr>
            </w:pPr>
            <w:r w:rsidRPr="00A40217">
              <w:rPr>
                <w:rFonts w:cstheme="minorHAnsi"/>
              </w:rPr>
              <w:t>78 µg/m</w:t>
            </w:r>
            <w:r w:rsidRPr="00A40217">
              <w:rPr>
                <w:rFonts w:cstheme="minorHAnsi"/>
                <w:vertAlign w:val="superscript"/>
              </w:rPr>
              <w:t>3</w:t>
            </w:r>
          </w:p>
        </w:tc>
      </w:tr>
    </w:tbl>
    <w:p w14:paraId="3266C0E2" w14:textId="76DD8E82" w:rsidR="0058758F" w:rsidRPr="00A40217" w:rsidRDefault="0058758F" w:rsidP="0058758F">
      <w:pPr>
        <w:rPr>
          <w:rFonts w:cstheme="minorHAnsi"/>
          <w:szCs w:val="24"/>
        </w:rPr>
      </w:pPr>
      <w:r w:rsidRPr="00A40217">
        <w:rPr>
          <w:rFonts w:cstheme="minorHAnsi"/>
          <w:szCs w:val="24"/>
        </w:rPr>
        <w:t xml:space="preserve">To assess the difference in pollution exposure of individuals due to their income and mode of travel, the individuals were classified based on their household vehicle ownership. This is because income of households is not </w:t>
      </w:r>
      <w:proofErr w:type="gramStart"/>
      <w:r w:rsidRPr="00A40217">
        <w:rPr>
          <w:rFonts w:cstheme="minorHAnsi"/>
          <w:szCs w:val="24"/>
        </w:rPr>
        <w:t>known</w:t>
      </w:r>
      <w:proofErr w:type="gramEnd"/>
      <w:r w:rsidRPr="00A40217">
        <w:rPr>
          <w:rFonts w:cstheme="minorHAnsi"/>
          <w:szCs w:val="24"/>
        </w:rPr>
        <w:t xml:space="preserve"> and vehicle ownership of the household is a good indicator for mode of travel as well as income level. The households were divided into three categories—a) those owning at least one car, b) those owning at least one 2W and no car, and c) and those owning no car or 2W (se</w:t>
      </w:r>
      <w:r w:rsidR="00D3243D" w:rsidRPr="00A40217">
        <w:rPr>
          <w:rFonts w:cstheme="minorHAnsi"/>
          <w:szCs w:val="24"/>
        </w:rPr>
        <w:t>e Table 9</w:t>
      </w:r>
      <w:r w:rsidRPr="00A40217">
        <w:rPr>
          <w:rFonts w:cstheme="minorHAnsi"/>
          <w:szCs w:val="24"/>
        </w:rPr>
        <w:t>). Next, we estimate the pollution for the three population groups using static as well as dynamic approach, the former assumes all exposure at residential location, while the latter accounts for within-day movement and on-road exposure.</w:t>
      </w:r>
    </w:p>
    <w:p w14:paraId="2B026E6D" w14:textId="3F06B9CD" w:rsidR="0058758F" w:rsidRPr="00A40217" w:rsidRDefault="006C6802" w:rsidP="0058758F">
      <w:pPr>
        <w:rPr>
          <w:rFonts w:cstheme="minorHAnsi"/>
          <w:szCs w:val="24"/>
        </w:rPr>
      </w:pPr>
      <w:r w:rsidRPr="00A40217">
        <w:rPr>
          <w:rFonts w:cstheme="minorHAnsi"/>
          <w:szCs w:val="24"/>
        </w:rPr>
        <w:t>PM2</w:t>
      </w:r>
      <w:r w:rsidR="0058758F" w:rsidRPr="00A40217">
        <w:rPr>
          <w:rFonts w:cstheme="minorHAnsi"/>
          <w:szCs w:val="24"/>
          <w:vertAlign w:val="subscript"/>
        </w:rPr>
        <w:t>.5</w:t>
      </w:r>
      <w:r w:rsidR="0058758F" w:rsidRPr="00A40217">
        <w:rPr>
          <w:rFonts w:cstheme="minorHAnsi"/>
          <w:szCs w:val="24"/>
        </w:rPr>
        <w:t xml:space="preserve"> exposure using static approach is significantly higher for car owning households than the other two groups. Since static approach assumes exposure only at the residential location, it implies that car owning households live in the core of the city where pollution is the highest, while the other two groups live in cleaner locations away from the core of the city. The spatial distribution of different income groups can also be seen through the map of property rate presented in </w:t>
      </w:r>
      <w:r w:rsidR="0058758F" w:rsidRPr="00A40217">
        <w:rPr>
          <w:rFonts w:cstheme="minorHAnsi"/>
          <w:szCs w:val="24"/>
        </w:rPr>
        <w:fldChar w:fldCharType="begin"/>
      </w:r>
      <w:r w:rsidR="0058758F" w:rsidRPr="00A40217">
        <w:rPr>
          <w:rFonts w:cstheme="minorHAnsi"/>
          <w:szCs w:val="24"/>
        </w:rPr>
        <w:instrText xml:space="preserve"> REF _Ref426448018 \h </w:instrText>
      </w:r>
      <w:r w:rsidR="00143D29" w:rsidRPr="00A40217">
        <w:rPr>
          <w:rFonts w:cstheme="minorHAnsi"/>
          <w:szCs w:val="24"/>
        </w:rPr>
        <w:instrText xml:space="preserve"> \* MERGEFORMAT </w:instrText>
      </w:r>
      <w:r w:rsidR="0058758F" w:rsidRPr="00A40217">
        <w:rPr>
          <w:rFonts w:cstheme="minorHAnsi"/>
          <w:szCs w:val="24"/>
        </w:rPr>
      </w:r>
      <w:r w:rsidR="0058758F" w:rsidRPr="00A40217">
        <w:rPr>
          <w:rFonts w:cstheme="minorHAnsi"/>
          <w:szCs w:val="24"/>
        </w:rPr>
        <w:fldChar w:fldCharType="separate"/>
      </w:r>
      <w:r w:rsidR="009161CE" w:rsidRPr="00A40217">
        <w:rPr>
          <w:rFonts w:cstheme="minorHAnsi"/>
        </w:rPr>
        <w:t>Figure</w:t>
      </w:r>
      <w:r w:rsidR="0058758F" w:rsidRPr="00A40217">
        <w:rPr>
          <w:rFonts w:cstheme="minorHAnsi"/>
          <w:szCs w:val="24"/>
        </w:rPr>
        <w:fldChar w:fldCharType="end"/>
      </w:r>
      <w:r w:rsidR="0058758F" w:rsidRPr="00A40217">
        <w:rPr>
          <w:rFonts w:cstheme="minorHAnsi"/>
          <w:szCs w:val="24"/>
        </w:rPr>
        <w:t xml:space="preserve">. The map clearly shows that there is a general trend of reducing property rates as one moves towards to the periphery of the city. </w:t>
      </w:r>
    </w:p>
    <w:p w14:paraId="17531AA6" w14:textId="4B4E5DD3" w:rsidR="0058758F" w:rsidRPr="00A40217" w:rsidRDefault="0058758F" w:rsidP="0058758F">
      <w:pPr>
        <w:pStyle w:val="Caption"/>
        <w:keepNext/>
        <w:rPr>
          <w:rFonts w:asciiTheme="minorHAnsi" w:hAnsiTheme="minorHAnsi" w:cstheme="minorHAnsi"/>
        </w:rPr>
      </w:pPr>
      <w:bookmarkStart w:id="63" w:name="_Ref470504700"/>
      <w:bookmarkStart w:id="64" w:name="_Toc476818666"/>
      <w:r w:rsidRPr="00A40217">
        <w:rPr>
          <w:rFonts w:asciiTheme="minorHAnsi" w:hAnsiTheme="minorHAnsi" w:cstheme="minorHAnsi"/>
        </w:rPr>
        <w:t>Table</w:t>
      </w:r>
      <w:bookmarkEnd w:id="63"/>
      <w:r w:rsidR="00D3243D" w:rsidRPr="00A40217">
        <w:rPr>
          <w:rFonts w:asciiTheme="minorHAnsi" w:hAnsiTheme="minorHAnsi" w:cstheme="minorHAnsi"/>
        </w:rPr>
        <w:t xml:space="preserve"> 9</w:t>
      </w:r>
      <w:r w:rsidRPr="00A40217">
        <w:rPr>
          <w:rFonts w:asciiTheme="minorHAnsi" w:hAnsiTheme="minorHAnsi" w:cstheme="minorHAnsi"/>
        </w:rPr>
        <w:t>: Population Exposure to PM</w:t>
      </w:r>
      <w:r w:rsidRPr="00A40217">
        <w:rPr>
          <w:rFonts w:asciiTheme="minorHAnsi" w:hAnsiTheme="minorHAnsi" w:cstheme="minorHAnsi"/>
          <w:vertAlign w:val="subscript"/>
        </w:rPr>
        <w:t>2.5</w:t>
      </w:r>
      <w:r w:rsidRPr="00A40217">
        <w:rPr>
          <w:rFonts w:asciiTheme="minorHAnsi" w:hAnsiTheme="minorHAnsi" w:cstheme="minorHAnsi"/>
        </w:rPr>
        <w:t xml:space="preserve"> Pollution for Population Groups Classified by Vehicle Ownership</w:t>
      </w:r>
      <w:bookmarkEnd w:id="64"/>
    </w:p>
    <w:tbl>
      <w:tblPr>
        <w:tblStyle w:val="TableGrid"/>
        <w:tblW w:w="9016" w:type="dxa"/>
        <w:tblLook w:val="04A0" w:firstRow="1" w:lastRow="0" w:firstColumn="1" w:lastColumn="0" w:noHBand="0" w:noVBand="1"/>
      </w:tblPr>
      <w:tblGrid>
        <w:gridCol w:w="3235"/>
        <w:gridCol w:w="2880"/>
        <w:gridCol w:w="2901"/>
      </w:tblGrid>
      <w:tr w:rsidR="0058758F" w:rsidRPr="00A40217" w14:paraId="006F5998" w14:textId="77777777" w:rsidTr="00F02FAB">
        <w:tc>
          <w:tcPr>
            <w:tcW w:w="3235" w:type="dxa"/>
            <w:vMerge w:val="restart"/>
          </w:tcPr>
          <w:p w14:paraId="6A321DFB" w14:textId="77777777" w:rsidR="0058758F" w:rsidRPr="00A40217" w:rsidRDefault="0058758F" w:rsidP="00F02FAB">
            <w:pPr>
              <w:rPr>
                <w:rFonts w:cstheme="minorHAnsi"/>
                <w:b/>
              </w:rPr>
            </w:pPr>
            <w:r w:rsidRPr="00A40217">
              <w:rPr>
                <w:rFonts w:cstheme="minorHAnsi"/>
                <w:b/>
              </w:rPr>
              <w:t>Vehicle ownership of households</w:t>
            </w:r>
          </w:p>
        </w:tc>
        <w:tc>
          <w:tcPr>
            <w:tcW w:w="5781" w:type="dxa"/>
            <w:gridSpan w:val="2"/>
          </w:tcPr>
          <w:p w14:paraId="1FB5118F" w14:textId="77777777" w:rsidR="0058758F" w:rsidRPr="00A40217" w:rsidRDefault="0058758F" w:rsidP="00F02FAB">
            <w:pPr>
              <w:jc w:val="center"/>
              <w:rPr>
                <w:rFonts w:cstheme="minorHAnsi"/>
                <w:b/>
              </w:rPr>
            </w:pPr>
            <w:r w:rsidRPr="00A40217">
              <w:rPr>
                <w:rFonts w:cstheme="minorHAnsi"/>
                <w:b/>
              </w:rPr>
              <w:t>Population-average PM</w:t>
            </w:r>
            <w:r w:rsidRPr="00A40217">
              <w:rPr>
                <w:rFonts w:cstheme="minorHAnsi"/>
                <w:b/>
                <w:vertAlign w:val="subscript"/>
              </w:rPr>
              <w:t>2.5</w:t>
            </w:r>
            <w:r w:rsidRPr="00A40217">
              <w:rPr>
                <w:rFonts w:cstheme="minorHAnsi"/>
                <w:b/>
              </w:rPr>
              <w:t xml:space="preserve"> exposure</w:t>
            </w:r>
          </w:p>
        </w:tc>
      </w:tr>
      <w:tr w:rsidR="0058758F" w:rsidRPr="00A40217" w14:paraId="5D3656E1" w14:textId="77777777" w:rsidTr="00F02FAB">
        <w:tc>
          <w:tcPr>
            <w:tcW w:w="3235" w:type="dxa"/>
            <w:vMerge/>
          </w:tcPr>
          <w:p w14:paraId="4ACCCA00" w14:textId="77777777" w:rsidR="0058758F" w:rsidRPr="00A40217" w:rsidRDefault="0058758F" w:rsidP="00F02FAB">
            <w:pPr>
              <w:rPr>
                <w:rFonts w:cstheme="minorHAnsi"/>
                <w:b/>
              </w:rPr>
            </w:pPr>
          </w:p>
        </w:tc>
        <w:tc>
          <w:tcPr>
            <w:tcW w:w="2880" w:type="dxa"/>
          </w:tcPr>
          <w:p w14:paraId="2D6E3B2B" w14:textId="77777777" w:rsidR="0058758F" w:rsidRPr="00A40217" w:rsidRDefault="0058758F" w:rsidP="00F02FAB">
            <w:pPr>
              <w:jc w:val="center"/>
              <w:rPr>
                <w:rFonts w:cstheme="minorHAnsi"/>
                <w:b/>
              </w:rPr>
            </w:pPr>
            <w:r w:rsidRPr="00A40217">
              <w:rPr>
                <w:rFonts w:cstheme="minorHAnsi"/>
                <w:b/>
              </w:rPr>
              <w:t>Dynamic Approach</w:t>
            </w:r>
          </w:p>
        </w:tc>
        <w:tc>
          <w:tcPr>
            <w:tcW w:w="2901" w:type="dxa"/>
          </w:tcPr>
          <w:p w14:paraId="78E0A567" w14:textId="77777777" w:rsidR="0058758F" w:rsidRPr="00A40217" w:rsidRDefault="0058758F" w:rsidP="00F02FAB">
            <w:pPr>
              <w:jc w:val="center"/>
              <w:rPr>
                <w:rFonts w:cstheme="minorHAnsi"/>
                <w:b/>
              </w:rPr>
            </w:pPr>
            <w:r w:rsidRPr="00A40217">
              <w:rPr>
                <w:rFonts w:cstheme="minorHAnsi"/>
                <w:b/>
              </w:rPr>
              <w:t>Static Approach</w:t>
            </w:r>
          </w:p>
        </w:tc>
      </w:tr>
      <w:tr w:rsidR="0058758F" w:rsidRPr="00A40217" w14:paraId="0B981BBE" w14:textId="77777777" w:rsidTr="00F02FAB">
        <w:trPr>
          <w:trHeight w:hRule="exact" w:val="288"/>
        </w:trPr>
        <w:tc>
          <w:tcPr>
            <w:tcW w:w="3235" w:type="dxa"/>
          </w:tcPr>
          <w:p w14:paraId="08AFD653" w14:textId="77777777" w:rsidR="0058758F" w:rsidRPr="00A40217" w:rsidRDefault="0058758F" w:rsidP="00F02FAB">
            <w:pPr>
              <w:rPr>
                <w:rFonts w:cstheme="minorHAnsi"/>
              </w:rPr>
            </w:pPr>
            <w:r w:rsidRPr="00A40217">
              <w:rPr>
                <w:rFonts w:cstheme="minorHAnsi"/>
              </w:rPr>
              <w:t>Car</w:t>
            </w:r>
          </w:p>
        </w:tc>
        <w:tc>
          <w:tcPr>
            <w:tcW w:w="2880" w:type="dxa"/>
          </w:tcPr>
          <w:p w14:paraId="5CBDE6CC" w14:textId="77777777" w:rsidR="0058758F" w:rsidRPr="00A40217" w:rsidRDefault="0058758F" w:rsidP="00F02FAB">
            <w:pPr>
              <w:jc w:val="center"/>
              <w:rPr>
                <w:rFonts w:cstheme="minorHAnsi"/>
              </w:rPr>
            </w:pPr>
            <w:r w:rsidRPr="00A40217">
              <w:rPr>
                <w:rFonts w:cstheme="minorHAnsi"/>
              </w:rPr>
              <w:t>98 µg/m</w:t>
            </w:r>
            <w:r w:rsidRPr="00A40217">
              <w:rPr>
                <w:rFonts w:cstheme="minorHAnsi"/>
                <w:vertAlign w:val="superscript"/>
              </w:rPr>
              <w:t>3</w:t>
            </w:r>
          </w:p>
        </w:tc>
        <w:tc>
          <w:tcPr>
            <w:tcW w:w="2901" w:type="dxa"/>
          </w:tcPr>
          <w:p w14:paraId="7C4C063C" w14:textId="77777777" w:rsidR="0058758F" w:rsidRPr="00A40217" w:rsidRDefault="0058758F" w:rsidP="00F02FAB">
            <w:pPr>
              <w:jc w:val="center"/>
              <w:rPr>
                <w:rFonts w:cstheme="minorHAnsi"/>
              </w:rPr>
            </w:pPr>
            <w:r w:rsidRPr="00A40217">
              <w:rPr>
                <w:rFonts w:cstheme="minorHAnsi"/>
              </w:rPr>
              <w:t>97 µg/m</w:t>
            </w:r>
            <w:r w:rsidRPr="00A40217">
              <w:rPr>
                <w:rFonts w:cstheme="minorHAnsi"/>
                <w:vertAlign w:val="superscript"/>
              </w:rPr>
              <w:t>3</w:t>
            </w:r>
          </w:p>
        </w:tc>
      </w:tr>
      <w:tr w:rsidR="0058758F" w:rsidRPr="00A40217" w14:paraId="39864C08" w14:textId="77777777" w:rsidTr="00F02FAB">
        <w:trPr>
          <w:trHeight w:hRule="exact" w:val="288"/>
        </w:trPr>
        <w:tc>
          <w:tcPr>
            <w:tcW w:w="3235" w:type="dxa"/>
          </w:tcPr>
          <w:p w14:paraId="656D09E2" w14:textId="77777777" w:rsidR="0058758F" w:rsidRPr="00A40217" w:rsidRDefault="0058758F" w:rsidP="00F02FAB">
            <w:pPr>
              <w:rPr>
                <w:rFonts w:cstheme="minorHAnsi"/>
              </w:rPr>
            </w:pPr>
            <w:r w:rsidRPr="00A40217">
              <w:rPr>
                <w:rFonts w:cstheme="minorHAnsi"/>
              </w:rPr>
              <w:t>2W</w:t>
            </w:r>
          </w:p>
        </w:tc>
        <w:tc>
          <w:tcPr>
            <w:tcW w:w="2880" w:type="dxa"/>
          </w:tcPr>
          <w:p w14:paraId="23211658" w14:textId="77777777" w:rsidR="0058758F" w:rsidRPr="00A40217" w:rsidRDefault="0058758F" w:rsidP="00F02FAB">
            <w:pPr>
              <w:jc w:val="center"/>
              <w:rPr>
                <w:rFonts w:cstheme="minorHAnsi"/>
              </w:rPr>
            </w:pPr>
            <w:r w:rsidRPr="00A40217">
              <w:rPr>
                <w:rFonts w:cstheme="minorHAnsi"/>
              </w:rPr>
              <w:t>82 µg/m</w:t>
            </w:r>
            <w:r w:rsidRPr="00A40217">
              <w:rPr>
                <w:rFonts w:cstheme="minorHAnsi"/>
                <w:vertAlign w:val="superscript"/>
              </w:rPr>
              <w:t>3</w:t>
            </w:r>
          </w:p>
        </w:tc>
        <w:tc>
          <w:tcPr>
            <w:tcW w:w="2901" w:type="dxa"/>
          </w:tcPr>
          <w:p w14:paraId="4762EF62" w14:textId="77777777" w:rsidR="0058758F" w:rsidRPr="00A40217" w:rsidRDefault="0058758F" w:rsidP="00F02FAB">
            <w:pPr>
              <w:jc w:val="center"/>
              <w:rPr>
                <w:rFonts w:cstheme="minorHAnsi"/>
              </w:rPr>
            </w:pPr>
            <w:r w:rsidRPr="00A40217">
              <w:rPr>
                <w:rFonts w:cstheme="minorHAnsi"/>
              </w:rPr>
              <w:t>78 µg/m</w:t>
            </w:r>
            <w:r w:rsidRPr="00A40217">
              <w:rPr>
                <w:rFonts w:cstheme="minorHAnsi"/>
                <w:vertAlign w:val="superscript"/>
              </w:rPr>
              <w:t>3</w:t>
            </w:r>
          </w:p>
        </w:tc>
      </w:tr>
      <w:tr w:rsidR="0058758F" w:rsidRPr="00A40217" w14:paraId="5944BFE2" w14:textId="77777777" w:rsidTr="00F02FAB">
        <w:trPr>
          <w:trHeight w:hRule="exact" w:val="288"/>
        </w:trPr>
        <w:tc>
          <w:tcPr>
            <w:tcW w:w="3235" w:type="dxa"/>
          </w:tcPr>
          <w:p w14:paraId="701FA90B" w14:textId="77777777" w:rsidR="0058758F" w:rsidRPr="00A40217" w:rsidRDefault="0058758F" w:rsidP="00F02FAB">
            <w:pPr>
              <w:rPr>
                <w:rFonts w:cstheme="minorHAnsi"/>
              </w:rPr>
            </w:pPr>
            <w:r w:rsidRPr="00A40217">
              <w:rPr>
                <w:rFonts w:cstheme="minorHAnsi"/>
              </w:rPr>
              <w:t>Cycle or none</w:t>
            </w:r>
          </w:p>
        </w:tc>
        <w:tc>
          <w:tcPr>
            <w:tcW w:w="2880" w:type="dxa"/>
          </w:tcPr>
          <w:p w14:paraId="09A4F88B" w14:textId="77777777" w:rsidR="0058758F" w:rsidRPr="00A40217" w:rsidRDefault="0058758F" w:rsidP="00F02FAB">
            <w:pPr>
              <w:jc w:val="center"/>
              <w:rPr>
                <w:rFonts w:cstheme="minorHAnsi"/>
              </w:rPr>
            </w:pPr>
            <w:r w:rsidRPr="00A40217">
              <w:rPr>
                <w:rFonts w:cstheme="minorHAnsi"/>
              </w:rPr>
              <w:t>79 µg/m</w:t>
            </w:r>
            <w:r w:rsidRPr="00A40217">
              <w:rPr>
                <w:rFonts w:cstheme="minorHAnsi"/>
                <w:vertAlign w:val="superscript"/>
              </w:rPr>
              <w:t>3</w:t>
            </w:r>
          </w:p>
        </w:tc>
        <w:tc>
          <w:tcPr>
            <w:tcW w:w="2901" w:type="dxa"/>
          </w:tcPr>
          <w:p w14:paraId="18DFB58E" w14:textId="77777777" w:rsidR="0058758F" w:rsidRPr="00A40217" w:rsidRDefault="0058758F" w:rsidP="00F02FAB">
            <w:pPr>
              <w:jc w:val="center"/>
              <w:rPr>
                <w:rFonts w:cstheme="minorHAnsi"/>
              </w:rPr>
            </w:pPr>
            <w:r w:rsidRPr="00A40217">
              <w:rPr>
                <w:rFonts w:cstheme="minorHAnsi"/>
              </w:rPr>
              <w:t>74 µg/m</w:t>
            </w:r>
            <w:r w:rsidRPr="00A40217">
              <w:rPr>
                <w:rFonts w:cstheme="minorHAnsi"/>
                <w:vertAlign w:val="superscript"/>
              </w:rPr>
              <w:t>3</w:t>
            </w:r>
          </w:p>
        </w:tc>
      </w:tr>
    </w:tbl>
    <w:p w14:paraId="3D821CE4" w14:textId="702147E8" w:rsidR="0058758F" w:rsidRPr="00A40217" w:rsidRDefault="0058758F" w:rsidP="0058758F">
      <w:pPr>
        <w:rPr>
          <w:rFonts w:cstheme="minorHAnsi"/>
          <w:szCs w:val="24"/>
        </w:rPr>
      </w:pPr>
      <w:r w:rsidRPr="00A40217">
        <w:rPr>
          <w:rFonts w:cstheme="minorHAnsi"/>
          <w:szCs w:val="24"/>
        </w:rPr>
        <w:t>Comparing the dynamic approach assessment of PM</w:t>
      </w:r>
      <w:r w:rsidRPr="00A40217">
        <w:rPr>
          <w:rFonts w:cstheme="minorHAnsi"/>
          <w:szCs w:val="24"/>
          <w:vertAlign w:val="subscript"/>
        </w:rPr>
        <w:t>2.5</w:t>
      </w:r>
      <w:r w:rsidRPr="00A40217">
        <w:rPr>
          <w:rFonts w:cstheme="minorHAnsi"/>
          <w:szCs w:val="24"/>
        </w:rPr>
        <w:t xml:space="preserve"> with static approach for the three population groups, estimate of dynamic approach is highly correlated to estimate of static approach. This indicates that where people live </w:t>
      </w:r>
      <w:proofErr w:type="gramStart"/>
      <w:r w:rsidRPr="00A40217">
        <w:rPr>
          <w:rFonts w:cstheme="minorHAnsi"/>
          <w:szCs w:val="24"/>
        </w:rPr>
        <w:t>has</w:t>
      </w:r>
      <w:proofErr w:type="gramEnd"/>
      <w:r w:rsidRPr="00A40217">
        <w:rPr>
          <w:rFonts w:cstheme="minorHAnsi"/>
          <w:szCs w:val="24"/>
        </w:rPr>
        <w:t xml:space="preserve"> an important implication on their overall-day pollution exposure. It can also be observed that the difference between static and dynamic approach is a function of vehicle ownership. For car-owning households the two estimate</w:t>
      </w:r>
      <w:r w:rsidR="00A40217" w:rsidRPr="00A40217">
        <w:rPr>
          <w:rFonts w:cstheme="minorHAnsi"/>
          <w:szCs w:val="24"/>
        </w:rPr>
        <w:t>s</w:t>
      </w:r>
      <w:r w:rsidRPr="00A40217">
        <w:rPr>
          <w:rFonts w:cstheme="minorHAnsi"/>
          <w:szCs w:val="24"/>
        </w:rPr>
        <w:t xml:space="preserve"> are almost similar, while for the other two population groups, the estimate using dynamic approach is higher than static </w:t>
      </w:r>
      <w:r w:rsidRPr="00A40217">
        <w:rPr>
          <w:rFonts w:cstheme="minorHAnsi"/>
          <w:szCs w:val="24"/>
        </w:rPr>
        <w:lastRenderedPageBreak/>
        <w:t xml:space="preserve">approach by 5 to 6%. This is possible due to two reasons. Firstly, the two categories of households not owning a car, have higher exposure during their travel, as a result dynamic approach estimate is higher than static estimate. Secondly, the individuals in these households though </w:t>
      </w:r>
      <w:proofErr w:type="gramStart"/>
      <w:r w:rsidRPr="00A40217">
        <w:rPr>
          <w:rFonts w:cstheme="minorHAnsi"/>
          <w:szCs w:val="24"/>
        </w:rPr>
        <w:t>live in</w:t>
      </w:r>
      <w:proofErr w:type="gramEnd"/>
      <w:r w:rsidRPr="00A40217">
        <w:rPr>
          <w:rFonts w:cstheme="minorHAnsi"/>
          <w:szCs w:val="24"/>
        </w:rPr>
        <w:t xml:space="preserve"> cleaner locations, travel to locations with higher pollution during the day. </w:t>
      </w:r>
    </w:p>
    <w:p w14:paraId="439B1DDC" w14:textId="1AB77755" w:rsidR="0058758F" w:rsidRPr="00A40217" w:rsidRDefault="0058758F" w:rsidP="0058758F">
      <w:pPr>
        <w:rPr>
          <w:rFonts w:cstheme="minorHAnsi"/>
          <w:szCs w:val="24"/>
        </w:rPr>
      </w:pPr>
      <w:r w:rsidRPr="00A40217">
        <w:rPr>
          <w:rFonts w:cstheme="minorHAnsi"/>
          <w:szCs w:val="24"/>
        </w:rPr>
        <w:t>In general, more than 95% of the pollution exposure can be explained by residential location alone. This is possible because, for a 24-hour period, individuals spend less than an hour for on-road travel. Therefore, 96% (1/24) of their 24-hour duration is in locations away from road. Also, more than 60% of the trips are less than 3 km long. Thus, most individuals spend their out-of-home duration in locations close to their residences, and therefore, the pollution exposure at the two locations will be similar.</w:t>
      </w:r>
    </w:p>
    <w:p w14:paraId="1B3CDC71" w14:textId="633C9232" w:rsidR="007B6E2E" w:rsidRPr="00A40217" w:rsidRDefault="00A40217" w:rsidP="007B6E2E">
      <w:pPr>
        <w:pStyle w:val="Heading1"/>
        <w:spacing w:after="0"/>
        <w:ind w:left="431" w:hanging="431"/>
        <w:rPr>
          <w:rFonts w:asciiTheme="minorHAnsi" w:hAnsiTheme="minorHAnsi" w:cstheme="minorHAnsi"/>
        </w:rPr>
      </w:pPr>
      <w:bookmarkStart w:id="65" w:name="_Toc477776551"/>
      <w:bookmarkStart w:id="66" w:name="_Toc85106189"/>
      <w:r w:rsidRPr="00A40217">
        <w:rPr>
          <w:rFonts w:asciiTheme="minorHAnsi" w:hAnsiTheme="minorHAnsi" w:cstheme="minorHAnsi"/>
          <w:caps w:val="0"/>
        </w:rPr>
        <w:t>UNCERTAINTY ANALYSIS OF HEALTH BURDEN ESTIMATES</w:t>
      </w:r>
      <w:bookmarkEnd w:id="65"/>
      <w:bookmarkEnd w:id="66"/>
    </w:p>
    <w:p w14:paraId="08E19426" w14:textId="77777777" w:rsidR="007B6E2E" w:rsidRPr="00A40217" w:rsidRDefault="007B6E2E" w:rsidP="007B6E2E">
      <w:pPr>
        <w:rPr>
          <w:rFonts w:cstheme="minorHAnsi"/>
        </w:rPr>
      </w:pPr>
      <w:r w:rsidRPr="00A40217">
        <w:rPr>
          <w:rFonts w:cstheme="minorHAnsi"/>
        </w:rPr>
        <w:t xml:space="preserve">Due to small sample size for household travel survey, a considerable uncertainty remains in the estimates of travel characteristics—mode shares, trip distance, trip travel time, and trip rates. In addition, large uncertainties occur in estimates of bottom-up emission inventories (transport as well as non-transport sectors), pollution estimates using dispersion modelling, and sector-specific shares in overall concentrations. </w:t>
      </w:r>
      <w:proofErr w:type="gramStart"/>
      <w:r w:rsidRPr="00A40217">
        <w:rPr>
          <w:rFonts w:cstheme="minorHAnsi"/>
        </w:rPr>
        <w:t>In order to</w:t>
      </w:r>
      <w:proofErr w:type="gramEnd"/>
      <w:r w:rsidRPr="00A40217">
        <w:rPr>
          <w:rFonts w:cstheme="minorHAnsi"/>
        </w:rPr>
        <w:t xml:space="preserve"> address the uncertainties in these parameters and the resulting uncertainty in the estimates of health outcomes, Monte Carlo simulations (MCS) have been used.  The uncertainty analysis has been done for health burden from physical activity and air pollution. The baseline injury burden has been estimated from the police-reported data and, therefore, has no parametric uncertainty.</w:t>
      </w:r>
    </w:p>
    <w:p w14:paraId="50FD3904" w14:textId="77777777" w:rsidR="007B6E2E" w:rsidRPr="00A40217" w:rsidRDefault="007B6E2E" w:rsidP="007B6E2E">
      <w:pPr>
        <w:rPr>
          <w:rFonts w:cstheme="minorHAnsi"/>
        </w:rPr>
      </w:pPr>
      <w:r w:rsidRPr="00A40217">
        <w:rPr>
          <w:rFonts w:cstheme="minorHAnsi"/>
        </w:rPr>
        <w:t xml:space="preserve">In the MCS analysis, single-point estimates of parameters are replaced by their probability distributions. The distributions vary depending on the extent of uncertainty and the spread of parameter values, which are dependent on prior information of the parameter from previous literature or expert opinion. For instance, a uniform distribution represents complete uncertainty about a parameter, and gives equal probability of selection to all values within the range. Triangular and normal distributions, on other hand, give higher probability of selection to certain values, denoted by their peaks, than the others. The MCS analysis consists of </w:t>
      </w:r>
      <w:proofErr w:type="gramStart"/>
      <w:r w:rsidRPr="00A40217">
        <w:rPr>
          <w:rFonts w:cstheme="minorHAnsi"/>
        </w:rPr>
        <w:t>a number of</w:t>
      </w:r>
      <w:proofErr w:type="gramEnd"/>
      <w:r w:rsidRPr="00A40217">
        <w:rPr>
          <w:rFonts w:cstheme="minorHAnsi"/>
        </w:rPr>
        <w:t xml:space="preserve"> iterations to estimate the output, and in each iteration, values of different parameters are randomly generated from their corresponding distribution functions. A series of iterations results in a distribution of an output value, in contrast to a single-point estimate if deterministic values of each input parameter was used.</w:t>
      </w:r>
    </w:p>
    <w:p w14:paraId="1D8125AC" w14:textId="269FC773" w:rsidR="007B6E2E" w:rsidRPr="00A40217" w:rsidRDefault="007B6E2E" w:rsidP="007B6E2E">
      <w:pPr>
        <w:rPr>
          <w:rFonts w:cstheme="minorHAnsi"/>
        </w:rPr>
      </w:pPr>
      <w:r w:rsidRPr="00A40217">
        <w:rPr>
          <w:rFonts w:cstheme="minorHAnsi"/>
        </w:rPr>
        <w:t xml:space="preserve">For this analysis, 10,000 iterations were </w:t>
      </w:r>
      <w:proofErr w:type="gramStart"/>
      <w:r w:rsidRPr="00A40217">
        <w:rPr>
          <w:rFonts w:cstheme="minorHAnsi"/>
        </w:rPr>
        <w:t>used</w:t>
      </w:r>
      <w:proofErr w:type="gramEnd"/>
      <w:r w:rsidRPr="00A40217">
        <w:rPr>
          <w:rFonts w:cstheme="minorHAnsi"/>
        </w:rPr>
        <w:t xml:space="preserve"> and the simulation setup was done in Microsoft Excel spreadsheet program. A total of 11 parameters were selected for uncertainty </w:t>
      </w:r>
      <w:proofErr w:type="gramStart"/>
      <w:r w:rsidRPr="00A40217">
        <w:rPr>
          <w:rFonts w:cstheme="minorHAnsi"/>
        </w:rPr>
        <w:t>analysis, and</w:t>
      </w:r>
      <w:proofErr w:type="gramEnd"/>
      <w:r w:rsidRPr="00A40217">
        <w:rPr>
          <w:rFonts w:cstheme="minorHAnsi"/>
        </w:rPr>
        <w:t xml:space="preserve"> were expressed as various types of distributions— uniform, triangular, or normal, presented in Table 10. The table also gives explanation for selecting the distribution parameters. For illustration, Figure 15 (a) and (b) present triangular distribution of per-capita trip-rate values and normal distribution of PM</w:t>
      </w:r>
      <w:r w:rsidRPr="00A40217">
        <w:rPr>
          <w:rFonts w:cstheme="minorHAnsi"/>
          <w:vertAlign w:val="subscript"/>
        </w:rPr>
        <w:t>2.5</w:t>
      </w:r>
      <w:r w:rsidRPr="00A40217">
        <w:rPr>
          <w:rFonts w:cstheme="minorHAnsi"/>
        </w:rPr>
        <w:t xml:space="preserve"> dose-response coefficient.</w:t>
      </w:r>
    </w:p>
    <w:p w14:paraId="7E8EFB71" w14:textId="01E4B3BE" w:rsidR="007B6E2E" w:rsidRPr="00A40217" w:rsidRDefault="007B6E2E" w:rsidP="007B6E2E">
      <w:pPr>
        <w:pStyle w:val="Caption"/>
        <w:keepNext/>
        <w:rPr>
          <w:rFonts w:asciiTheme="minorHAnsi" w:hAnsiTheme="minorHAnsi" w:cstheme="minorHAnsi"/>
        </w:rPr>
      </w:pPr>
      <w:bookmarkStart w:id="67" w:name="_Ref430164468"/>
      <w:bookmarkStart w:id="68" w:name="_Toc476818668"/>
      <w:r w:rsidRPr="00A40217">
        <w:rPr>
          <w:rFonts w:asciiTheme="minorHAnsi" w:hAnsiTheme="minorHAnsi" w:cstheme="minorHAnsi"/>
        </w:rPr>
        <w:t>Tabl</w:t>
      </w:r>
      <w:bookmarkEnd w:id="67"/>
      <w:r w:rsidRPr="00A40217">
        <w:rPr>
          <w:rFonts w:asciiTheme="minorHAnsi" w:hAnsiTheme="minorHAnsi" w:cstheme="minorHAnsi"/>
        </w:rPr>
        <w:t>e 10: Parameters used for uncertainty analysis</w:t>
      </w:r>
      <w:bookmarkEnd w:id="68"/>
    </w:p>
    <w:tbl>
      <w:tblPr>
        <w:tblStyle w:val="TableGrid"/>
        <w:tblW w:w="0" w:type="auto"/>
        <w:tblInd w:w="-5" w:type="dxa"/>
        <w:tblLook w:val="04A0" w:firstRow="1" w:lastRow="0" w:firstColumn="1" w:lastColumn="0" w:noHBand="0" w:noVBand="1"/>
      </w:tblPr>
      <w:tblGrid>
        <w:gridCol w:w="2259"/>
        <w:gridCol w:w="2532"/>
        <w:gridCol w:w="491"/>
        <w:gridCol w:w="3594"/>
        <w:gridCol w:w="145"/>
      </w:tblGrid>
      <w:tr w:rsidR="007B6E2E" w:rsidRPr="00A40217" w14:paraId="6C11047E" w14:textId="77777777" w:rsidTr="00A36BB9">
        <w:trPr>
          <w:gridAfter w:val="1"/>
          <w:wAfter w:w="231" w:type="dxa"/>
          <w:tblHeader/>
        </w:trPr>
        <w:tc>
          <w:tcPr>
            <w:tcW w:w="2065" w:type="dxa"/>
          </w:tcPr>
          <w:p w14:paraId="4E511496" w14:textId="77777777" w:rsidR="007B6E2E" w:rsidRPr="00A40217" w:rsidRDefault="007B6E2E" w:rsidP="00A36BB9">
            <w:pPr>
              <w:pStyle w:val="NoSpacing"/>
              <w:jc w:val="left"/>
              <w:rPr>
                <w:rFonts w:asciiTheme="minorHAnsi" w:hAnsiTheme="minorHAnsi" w:cstheme="minorHAnsi"/>
                <w:b/>
                <w:sz w:val="18"/>
              </w:rPr>
            </w:pPr>
            <w:r w:rsidRPr="00A40217">
              <w:rPr>
                <w:rFonts w:asciiTheme="minorHAnsi" w:hAnsiTheme="minorHAnsi" w:cstheme="minorHAnsi"/>
                <w:b/>
                <w:sz w:val="18"/>
              </w:rPr>
              <w:t>Parameter</w:t>
            </w:r>
          </w:p>
        </w:tc>
        <w:tc>
          <w:tcPr>
            <w:tcW w:w="3150" w:type="dxa"/>
            <w:gridSpan w:val="2"/>
          </w:tcPr>
          <w:p w14:paraId="178FA61F" w14:textId="77777777" w:rsidR="007B6E2E" w:rsidRPr="00A40217" w:rsidRDefault="007B6E2E" w:rsidP="00A36BB9">
            <w:pPr>
              <w:pStyle w:val="NoSpacing"/>
              <w:jc w:val="left"/>
              <w:rPr>
                <w:rFonts w:asciiTheme="minorHAnsi" w:hAnsiTheme="minorHAnsi" w:cstheme="minorHAnsi"/>
                <w:b/>
                <w:sz w:val="18"/>
              </w:rPr>
            </w:pPr>
            <w:r w:rsidRPr="00A40217">
              <w:rPr>
                <w:rFonts w:asciiTheme="minorHAnsi" w:hAnsiTheme="minorHAnsi" w:cstheme="minorHAnsi"/>
                <w:b/>
                <w:sz w:val="18"/>
              </w:rPr>
              <w:t>Uncertainty Distribution</w:t>
            </w:r>
          </w:p>
        </w:tc>
        <w:tc>
          <w:tcPr>
            <w:tcW w:w="3801" w:type="dxa"/>
          </w:tcPr>
          <w:p w14:paraId="7CE4AEC0" w14:textId="77777777" w:rsidR="007B6E2E" w:rsidRPr="00A40217" w:rsidRDefault="007B6E2E" w:rsidP="00A36BB9">
            <w:pPr>
              <w:pStyle w:val="NoSpacing"/>
              <w:jc w:val="left"/>
              <w:rPr>
                <w:rFonts w:asciiTheme="minorHAnsi" w:hAnsiTheme="minorHAnsi" w:cstheme="minorHAnsi"/>
                <w:b/>
                <w:sz w:val="18"/>
              </w:rPr>
            </w:pPr>
            <w:r w:rsidRPr="00A40217">
              <w:rPr>
                <w:rFonts w:asciiTheme="minorHAnsi" w:hAnsiTheme="minorHAnsi" w:cstheme="minorHAnsi"/>
                <w:b/>
                <w:sz w:val="18"/>
              </w:rPr>
              <w:t>Description and references</w:t>
            </w:r>
          </w:p>
        </w:tc>
      </w:tr>
      <w:tr w:rsidR="007B6E2E" w:rsidRPr="00A40217" w14:paraId="7A3A8F1B" w14:textId="77777777" w:rsidTr="00A36BB9">
        <w:trPr>
          <w:gridAfter w:val="1"/>
          <w:wAfter w:w="231" w:type="dxa"/>
        </w:trPr>
        <w:tc>
          <w:tcPr>
            <w:tcW w:w="2065" w:type="dxa"/>
          </w:tcPr>
          <w:p w14:paraId="63E642A4"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Trip rate per capita per day</w:t>
            </w:r>
          </w:p>
        </w:tc>
        <w:tc>
          <w:tcPr>
            <w:tcW w:w="3150" w:type="dxa"/>
            <w:gridSpan w:val="2"/>
          </w:tcPr>
          <w:p w14:paraId="13978AF0"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 xml:space="preserve">Triangular distribution </w:t>
            </w:r>
          </w:p>
          <w:p w14:paraId="37B9C83E"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w:t>
            </w:r>
            <w:proofErr w:type="gramStart"/>
            <w:r w:rsidRPr="00A40217">
              <w:rPr>
                <w:rFonts w:asciiTheme="minorHAnsi" w:hAnsiTheme="minorHAnsi" w:cstheme="minorHAnsi"/>
                <w:sz w:val="18"/>
              </w:rPr>
              <w:t>min</w:t>
            </w:r>
            <w:proofErr w:type="gramEnd"/>
            <w:r w:rsidRPr="00A40217">
              <w:rPr>
                <w:rFonts w:asciiTheme="minorHAnsi" w:hAnsiTheme="minorHAnsi" w:cstheme="minorHAnsi"/>
                <w:sz w:val="18"/>
              </w:rPr>
              <w:t xml:space="preserve"> – 1.4, mode – 1.5, max – 2)</w:t>
            </w:r>
          </w:p>
        </w:tc>
        <w:tc>
          <w:tcPr>
            <w:tcW w:w="3801" w:type="dxa"/>
          </w:tcPr>
          <w:p w14:paraId="6D43CF0F"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 xml:space="preserve">To account for underreporting of trips settings 1.4 – estimated in this </w:t>
            </w:r>
            <w:proofErr w:type="gramStart"/>
            <w:r w:rsidRPr="00A40217">
              <w:rPr>
                <w:rFonts w:asciiTheme="minorHAnsi" w:hAnsiTheme="minorHAnsi" w:cstheme="minorHAnsi"/>
                <w:sz w:val="18"/>
              </w:rPr>
              <w:t>study;</w:t>
            </w:r>
            <w:proofErr w:type="gramEnd"/>
          </w:p>
          <w:p w14:paraId="5D6B58CD"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 xml:space="preserve">With high share of non-motorised modes and public transport – Singapore and Japan, have </w:t>
            </w:r>
            <w:r w:rsidRPr="00A40217">
              <w:rPr>
                <w:rFonts w:asciiTheme="minorHAnsi" w:hAnsiTheme="minorHAnsi" w:cstheme="minorHAnsi"/>
                <w:sz w:val="18"/>
              </w:rPr>
              <w:lastRenderedPageBreak/>
              <w:t>2 trips per capita; 1.5 – author’s judgment (Schafer, 2000; LTA, 2012)</w:t>
            </w:r>
          </w:p>
        </w:tc>
      </w:tr>
      <w:tr w:rsidR="007B6E2E" w:rsidRPr="00A40217" w14:paraId="75AA1B7B" w14:textId="77777777" w:rsidTr="00A36BB9">
        <w:trPr>
          <w:gridAfter w:val="1"/>
          <w:wAfter w:w="231" w:type="dxa"/>
        </w:trPr>
        <w:tc>
          <w:tcPr>
            <w:tcW w:w="2065" w:type="dxa"/>
          </w:tcPr>
          <w:p w14:paraId="3390E875"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lastRenderedPageBreak/>
              <w:t>Walking mode share (%)</w:t>
            </w:r>
          </w:p>
        </w:tc>
        <w:tc>
          <w:tcPr>
            <w:tcW w:w="3150" w:type="dxa"/>
            <w:gridSpan w:val="2"/>
          </w:tcPr>
          <w:p w14:paraId="5932AED6"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Triangular distribution</w:t>
            </w:r>
          </w:p>
          <w:p w14:paraId="086A3BE2"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(35, 42, 47)</w:t>
            </w:r>
          </w:p>
        </w:tc>
        <w:tc>
          <w:tcPr>
            <w:tcW w:w="3801" w:type="dxa"/>
          </w:tcPr>
          <w:p w14:paraId="6E881568" w14:textId="4F8DE23B"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For addressing variability of mode share; 35% mode share of walk reported in 2007 survey by RITES; 42</w:t>
            </w:r>
            <w:proofErr w:type="gramStart"/>
            <w:r w:rsidRPr="00A40217">
              <w:rPr>
                <w:rFonts w:asciiTheme="minorHAnsi" w:hAnsiTheme="minorHAnsi" w:cstheme="minorHAnsi"/>
                <w:sz w:val="18"/>
              </w:rPr>
              <w:t>%  this</w:t>
            </w:r>
            <w:proofErr w:type="gramEnd"/>
            <w:r w:rsidRPr="00A40217">
              <w:rPr>
                <w:rFonts w:asciiTheme="minorHAnsi" w:hAnsiTheme="minorHAnsi" w:cstheme="minorHAnsi"/>
                <w:sz w:val="18"/>
              </w:rPr>
              <w:t xml:space="preserve"> study; shares of the rest of the modes are calculated in proportion to their share within non-walk mode</w:t>
            </w:r>
            <w:r w:rsidR="00F24817" w:rsidRPr="00A40217">
              <w:rPr>
                <w:rFonts w:asciiTheme="minorHAnsi" w:hAnsiTheme="minorHAnsi" w:cstheme="minorHAnsi"/>
                <w:sz w:val="18"/>
              </w:rPr>
              <w:t xml:space="preserve"> </w:t>
            </w:r>
          </w:p>
        </w:tc>
      </w:tr>
      <w:tr w:rsidR="007B6E2E" w:rsidRPr="00A40217" w14:paraId="604C51D7" w14:textId="77777777" w:rsidTr="00A36BB9">
        <w:trPr>
          <w:gridAfter w:val="1"/>
          <w:wAfter w:w="231" w:type="dxa"/>
          <w:trHeight w:val="1151"/>
        </w:trPr>
        <w:tc>
          <w:tcPr>
            <w:tcW w:w="2065" w:type="dxa"/>
          </w:tcPr>
          <w:p w14:paraId="19ED42AF"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Scaling of daily physical activity to weekly physical activity</w:t>
            </w:r>
          </w:p>
        </w:tc>
        <w:tc>
          <w:tcPr>
            <w:tcW w:w="3150" w:type="dxa"/>
            <w:gridSpan w:val="2"/>
          </w:tcPr>
          <w:p w14:paraId="3E23F6EF"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Triangular distribution</w:t>
            </w:r>
          </w:p>
          <w:p w14:paraId="04C513FB"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(1, 1.2, 1.4)</w:t>
            </w:r>
          </w:p>
        </w:tc>
        <w:tc>
          <w:tcPr>
            <w:tcW w:w="3801" w:type="dxa"/>
          </w:tcPr>
          <w:p w14:paraId="179C3FE7"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1 – indicates no travel physical-activity during weekend; 1.2 – indicates 50% of weekday activity during weekend, reported by Hankey et al. (2012); 1.4 indicates the travel physical activity remains constant across all days</w:t>
            </w:r>
          </w:p>
        </w:tc>
      </w:tr>
      <w:tr w:rsidR="007B6E2E" w:rsidRPr="00A40217" w14:paraId="2BC2D338" w14:textId="77777777" w:rsidTr="00A36BB9">
        <w:trPr>
          <w:gridAfter w:val="1"/>
          <w:wAfter w:w="231" w:type="dxa"/>
        </w:trPr>
        <w:tc>
          <w:tcPr>
            <w:tcW w:w="2065" w:type="dxa"/>
          </w:tcPr>
          <w:p w14:paraId="6AEC8589"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 xml:space="preserve">Transformation parameter (t) of physical activity exposure </w:t>
            </w:r>
          </w:p>
          <w:p w14:paraId="0ECBD035" w14:textId="77777777" w:rsidR="007B6E2E" w:rsidRPr="00A40217" w:rsidRDefault="007B6E2E" w:rsidP="00A36BB9">
            <w:pPr>
              <w:pStyle w:val="NoSpacing"/>
              <w:jc w:val="left"/>
              <w:rPr>
                <w:rFonts w:asciiTheme="minorHAnsi" w:hAnsiTheme="minorHAnsi" w:cstheme="minorHAnsi"/>
                <w:sz w:val="18"/>
              </w:rPr>
            </w:pPr>
          </w:p>
        </w:tc>
        <w:tc>
          <w:tcPr>
            <w:tcW w:w="3150" w:type="dxa"/>
            <w:gridSpan w:val="2"/>
          </w:tcPr>
          <w:p w14:paraId="3BFF4969"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 xml:space="preserve">Triangular distribution </w:t>
            </w:r>
          </w:p>
          <w:p w14:paraId="4BB017E9"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(0.25, 0.5, 1)</w:t>
            </w:r>
          </w:p>
        </w:tc>
        <w:tc>
          <w:tcPr>
            <w:tcW w:w="3801" w:type="dxa"/>
          </w:tcPr>
          <w:p w14:paraId="3D922C86"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Non-linearity of physical-activity exposure: linear (1), square root (0.5) and power (0.25) transformation of exposure (Woodcock et al., 2011; Kelly et al., 2014)</w:t>
            </w:r>
          </w:p>
        </w:tc>
      </w:tr>
      <w:tr w:rsidR="007B6E2E" w:rsidRPr="00A40217" w14:paraId="23E9EF59" w14:textId="77777777" w:rsidTr="00A36BB9">
        <w:trPr>
          <w:gridAfter w:val="1"/>
          <w:wAfter w:w="231" w:type="dxa"/>
        </w:trPr>
        <w:tc>
          <w:tcPr>
            <w:tcW w:w="2065" w:type="dxa"/>
          </w:tcPr>
          <w:p w14:paraId="6C2DCA35"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Relative risk for physical activity</w:t>
            </w:r>
          </w:p>
        </w:tc>
        <w:tc>
          <w:tcPr>
            <w:tcW w:w="3150" w:type="dxa"/>
            <w:gridSpan w:val="2"/>
          </w:tcPr>
          <w:p w14:paraId="33B33C4E"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 xml:space="preserve">Normal distribution </w:t>
            </w:r>
          </w:p>
          <w:p w14:paraId="7E1D4949"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w:t>
            </w:r>
            <w:proofErr w:type="gramStart"/>
            <w:r w:rsidRPr="00A40217">
              <w:rPr>
                <w:rFonts w:asciiTheme="minorHAnsi" w:hAnsiTheme="minorHAnsi" w:cstheme="minorHAnsi"/>
                <w:sz w:val="18"/>
              </w:rPr>
              <w:t>mean</w:t>
            </w:r>
            <w:proofErr w:type="gramEnd"/>
            <w:r w:rsidRPr="00A40217">
              <w:rPr>
                <w:rFonts w:asciiTheme="minorHAnsi" w:hAnsiTheme="minorHAnsi" w:cstheme="minorHAnsi"/>
                <w:sz w:val="18"/>
              </w:rPr>
              <w:t>, standard deviation)</w:t>
            </w:r>
          </w:p>
          <w:p w14:paraId="44916443"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All-cause mortality: 0.9 (0.02); cardiovascular diseases: 0.84 (0.03); type-II diabetes: 0.83 (0.04)</w:t>
            </w:r>
          </w:p>
        </w:tc>
        <w:tc>
          <w:tcPr>
            <w:tcW w:w="3801" w:type="dxa"/>
          </w:tcPr>
          <w:p w14:paraId="18C04A2A"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 xml:space="preserve">Using 95% CI of the coefficients (see sources in </w:t>
            </w:r>
            <w:r w:rsidRPr="00A40217">
              <w:rPr>
                <w:rFonts w:asciiTheme="minorHAnsi" w:hAnsiTheme="minorHAnsi" w:cstheme="minorHAnsi"/>
                <w:sz w:val="18"/>
              </w:rPr>
              <w:fldChar w:fldCharType="begin"/>
            </w:r>
            <w:r w:rsidRPr="00A40217">
              <w:rPr>
                <w:rFonts w:asciiTheme="minorHAnsi" w:hAnsiTheme="minorHAnsi" w:cstheme="minorHAnsi"/>
                <w:sz w:val="18"/>
              </w:rPr>
              <w:instrText xml:space="preserve"> REF _Ref428360424 \h  \* MERGEFORMAT </w:instrText>
            </w:r>
            <w:r w:rsidRPr="00A40217">
              <w:rPr>
                <w:rFonts w:asciiTheme="minorHAnsi" w:hAnsiTheme="minorHAnsi" w:cstheme="minorHAnsi"/>
                <w:sz w:val="18"/>
              </w:rPr>
            </w:r>
            <w:r w:rsidRPr="00A40217">
              <w:rPr>
                <w:rFonts w:asciiTheme="minorHAnsi" w:hAnsiTheme="minorHAnsi" w:cstheme="minorHAnsi"/>
                <w:sz w:val="18"/>
              </w:rPr>
              <w:fldChar w:fldCharType="separate"/>
            </w:r>
            <w:r w:rsidRPr="00A40217">
              <w:rPr>
                <w:rFonts w:asciiTheme="minorHAnsi" w:hAnsiTheme="minorHAnsi" w:cstheme="minorHAnsi"/>
                <w:sz w:val="18"/>
              </w:rPr>
              <w:t>Table 2</w:t>
            </w:r>
            <w:r w:rsidRPr="00A40217">
              <w:rPr>
                <w:rFonts w:asciiTheme="minorHAnsi" w:hAnsiTheme="minorHAnsi" w:cstheme="minorHAnsi"/>
                <w:sz w:val="18"/>
              </w:rPr>
              <w:noBreakHyphen/>
              <w:t>11</w:t>
            </w:r>
            <w:r w:rsidRPr="00A40217">
              <w:rPr>
                <w:rFonts w:asciiTheme="minorHAnsi" w:hAnsiTheme="minorHAnsi" w:cstheme="minorHAnsi"/>
                <w:sz w:val="18"/>
              </w:rPr>
              <w:fldChar w:fldCharType="end"/>
            </w:r>
            <w:r w:rsidRPr="00A40217">
              <w:rPr>
                <w:rFonts w:asciiTheme="minorHAnsi" w:hAnsiTheme="minorHAnsi" w:cstheme="minorHAnsi"/>
                <w:sz w:val="18"/>
              </w:rPr>
              <w:t>)</w:t>
            </w:r>
          </w:p>
        </w:tc>
      </w:tr>
      <w:tr w:rsidR="007B6E2E" w:rsidRPr="00A40217" w14:paraId="4DDEC53C" w14:textId="77777777" w:rsidTr="00A36BB9">
        <w:trPr>
          <w:gridAfter w:val="1"/>
          <w:wAfter w:w="231" w:type="dxa"/>
        </w:trPr>
        <w:tc>
          <w:tcPr>
            <w:tcW w:w="2065" w:type="dxa"/>
          </w:tcPr>
          <w:p w14:paraId="608FE4C0"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Relative risk for PM</w:t>
            </w:r>
            <w:r w:rsidRPr="00A40217">
              <w:rPr>
                <w:rFonts w:asciiTheme="minorHAnsi" w:hAnsiTheme="minorHAnsi" w:cstheme="minorHAnsi"/>
                <w:sz w:val="18"/>
                <w:vertAlign w:val="subscript"/>
              </w:rPr>
              <w:t>2.5</w:t>
            </w:r>
            <w:r w:rsidRPr="00A40217">
              <w:rPr>
                <w:rFonts w:asciiTheme="minorHAnsi" w:hAnsiTheme="minorHAnsi" w:cstheme="minorHAnsi"/>
                <w:sz w:val="18"/>
              </w:rPr>
              <w:t xml:space="preserve"> pollution</w:t>
            </w:r>
          </w:p>
        </w:tc>
        <w:tc>
          <w:tcPr>
            <w:tcW w:w="3150" w:type="dxa"/>
            <w:gridSpan w:val="2"/>
          </w:tcPr>
          <w:p w14:paraId="06BD18BA" w14:textId="0215E9EF" w:rsidR="007B6E2E" w:rsidRPr="00A40217" w:rsidRDefault="00F24817" w:rsidP="00A36BB9">
            <w:pPr>
              <w:pStyle w:val="NoSpacing"/>
              <w:jc w:val="left"/>
              <w:rPr>
                <w:rFonts w:asciiTheme="minorHAnsi" w:hAnsiTheme="minorHAnsi" w:cstheme="minorHAnsi"/>
                <w:sz w:val="18"/>
              </w:rPr>
            </w:pPr>
            <w:r>
              <w:rPr>
                <w:rFonts w:asciiTheme="minorHAnsi" w:hAnsiTheme="minorHAnsi" w:cstheme="minorHAnsi"/>
                <w:sz w:val="18"/>
              </w:rPr>
              <w:t>Using GEMM function for non-communicable disease plus lower respiratory infection reported by Burnett et al. (2018)</w:t>
            </w:r>
          </w:p>
        </w:tc>
        <w:tc>
          <w:tcPr>
            <w:tcW w:w="3801" w:type="dxa"/>
          </w:tcPr>
          <w:p w14:paraId="1F6A58D6" w14:textId="6F926ABE"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Using 95% CI of the coefficients</w:t>
            </w:r>
          </w:p>
        </w:tc>
      </w:tr>
      <w:tr w:rsidR="007B6E2E" w:rsidRPr="00A40217" w14:paraId="1E5438D7" w14:textId="77777777" w:rsidTr="00A36BB9">
        <w:trPr>
          <w:gridAfter w:val="1"/>
          <w:wAfter w:w="231" w:type="dxa"/>
        </w:trPr>
        <w:tc>
          <w:tcPr>
            <w:tcW w:w="2065" w:type="dxa"/>
          </w:tcPr>
          <w:p w14:paraId="7641712D"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Counterfactual for PM</w:t>
            </w:r>
            <w:r w:rsidRPr="00A40217">
              <w:rPr>
                <w:rFonts w:asciiTheme="minorHAnsi" w:hAnsiTheme="minorHAnsi" w:cstheme="minorHAnsi"/>
                <w:sz w:val="18"/>
                <w:vertAlign w:val="subscript"/>
              </w:rPr>
              <w:t>2.5</w:t>
            </w:r>
            <w:r w:rsidRPr="00A40217">
              <w:rPr>
                <w:rFonts w:asciiTheme="minorHAnsi" w:hAnsiTheme="minorHAnsi" w:cstheme="minorHAnsi"/>
                <w:sz w:val="18"/>
              </w:rPr>
              <w:t xml:space="preserve"> concentration (µg/m</w:t>
            </w:r>
            <w:r w:rsidRPr="00A40217">
              <w:rPr>
                <w:rFonts w:asciiTheme="minorHAnsi" w:hAnsiTheme="minorHAnsi" w:cstheme="minorHAnsi"/>
                <w:sz w:val="18"/>
                <w:vertAlign w:val="superscript"/>
              </w:rPr>
              <w:t>3</w:t>
            </w:r>
            <w:r w:rsidRPr="00A40217">
              <w:rPr>
                <w:rFonts w:asciiTheme="minorHAnsi" w:hAnsiTheme="minorHAnsi" w:cstheme="minorHAnsi"/>
                <w:sz w:val="18"/>
              </w:rPr>
              <w:t>)</w:t>
            </w:r>
          </w:p>
        </w:tc>
        <w:tc>
          <w:tcPr>
            <w:tcW w:w="3150" w:type="dxa"/>
            <w:gridSpan w:val="2"/>
          </w:tcPr>
          <w:p w14:paraId="479FB825"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 xml:space="preserve">Uniform Distribution </w:t>
            </w:r>
          </w:p>
          <w:p w14:paraId="55683364"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w:t>
            </w:r>
            <w:proofErr w:type="gramStart"/>
            <w:r w:rsidRPr="00A40217">
              <w:rPr>
                <w:rFonts w:asciiTheme="minorHAnsi" w:hAnsiTheme="minorHAnsi" w:cstheme="minorHAnsi"/>
                <w:sz w:val="18"/>
              </w:rPr>
              <w:t>min</w:t>
            </w:r>
            <w:proofErr w:type="gramEnd"/>
            <w:r w:rsidRPr="00A40217">
              <w:rPr>
                <w:rFonts w:asciiTheme="minorHAnsi" w:hAnsiTheme="minorHAnsi" w:cstheme="minorHAnsi"/>
                <w:sz w:val="18"/>
              </w:rPr>
              <w:t xml:space="preserve">, max): (5.8, 8.8) </w:t>
            </w:r>
          </w:p>
        </w:tc>
        <w:tc>
          <w:tcPr>
            <w:tcW w:w="3801" w:type="dxa"/>
          </w:tcPr>
          <w:p w14:paraId="198855E7"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Range used by GBD-2010; Burnett et al. (2014)</w:t>
            </w:r>
          </w:p>
        </w:tc>
      </w:tr>
      <w:tr w:rsidR="007B6E2E" w:rsidRPr="00A40217" w14:paraId="6AFC6552" w14:textId="77777777" w:rsidTr="00A36BB9">
        <w:trPr>
          <w:gridAfter w:val="1"/>
          <w:wAfter w:w="231" w:type="dxa"/>
        </w:trPr>
        <w:tc>
          <w:tcPr>
            <w:tcW w:w="2065" w:type="dxa"/>
          </w:tcPr>
          <w:p w14:paraId="2015533E"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Annual average PM</w:t>
            </w:r>
            <w:r w:rsidRPr="00A40217">
              <w:rPr>
                <w:rFonts w:asciiTheme="minorHAnsi" w:hAnsiTheme="minorHAnsi" w:cstheme="minorHAnsi"/>
                <w:sz w:val="18"/>
                <w:vertAlign w:val="subscript"/>
              </w:rPr>
              <w:t>2.5</w:t>
            </w:r>
            <w:r w:rsidRPr="00A40217">
              <w:rPr>
                <w:rFonts w:asciiTheme="minorHAnsi" w:hAnsiTheme="minorHAnsi" w:cstheme="minorHAnsi"/>
                <w:sz w:val="18"/>
              </w:rPr>
              <w:t xml:space="preserve"> concentration (µg/m</w:t>
            </w:r>
            <w:r w:rsidRPr="00A40217">
              <w:rPr>
                <w:rFonts w:asciiTheme="minorHAnsi" w:hAnsiTheme="minorHAnsi" w:cstheme="minorHAnsi"/>
                <w:sz w:val="18"/>
                <w:vertAlign w:val="superscript"/>
              </w:rPr>
              <w:t>3</w:t>
            </w:r>
            <w:r w:rsidRPr="00A40217">
              <w:rPr>
                <w:rFonts w:asciiTheme="minorHAnsi" w:hAnsiTheme="minorHAnsi" w:cstheme="minorHAnsi"/>
                <w:sz w:val="18"/>
              </w:rPr>
              <w:t>)</w:t>
            </w:r>
          </w:p>
        </w:tc>
        <w:tc>
          <w:tcPr>
            <w:tcW w:w="3150" w:type="dxa"/>
            <w:gridSpan w:val="2"/>
          </w:tcPr>
          <w:p w14:paraId="6D2741C5"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 xml:space="preserve">Triangular distribution </w:t>
            </w:r>
          </w:p>
          <w:p w14:paraId="16131103"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(80, 85, 100)</w:t>
            </w:r>
          </w:p>
          <w:p w14:paraId="74807009" w14:textId="77777777" w:rsidR="007B6E2E" w:rsidRPr="00A40217" w:rsidRDefault="007B6E2E" w:rsidP="00A36BB9">
            <w:pPr>
              <w:pStyle w:val="NoSpacing"/>
              <w:jc w:val="left"/>
              <w:rPr>
                <w:rFonts w:asciiTheme="minorHAnsi" w:hAnsiTheme="minorHAnsi" w:cstheme="minorHAnsi"/>
                <w:b/>
                <w:sz w:val="18"/>
              </w:rPr>
            </w:pPr>
          </w:p>
        </w:tc>
        <w:tc>
          <w:tcPr>
            <w:tcW w:w="3801" w:type="dxa"/>
          </w:tcPr>
          <w:p w14:paraId="7E570233"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Minimum: estimated in this study; mode and max – author’s judgment to account for the difference between modelled concentrations and reported concentrations at the three monitoring stations</w:t>
            </w:r>
          </w:p>
        </w:tc>
      </w:tr>
      <w:tr w:rsidR="007B6E2E" w:rsidRPr="00A40217" w14:paraId="466EA723" w14:textId="77777777" w:rsidTr="00A36BB9">
        <w:trPr>
          <w:gridAfter w:val="1"/>
          <w:wAfter w:w="231" w:type="dxa"/>
        </w:trPr>
        <w:tc>
          <w:tcPr>
            <w:tcW w:w="2065" w:type="dxa"/>
          </w:tcPr>
          <w:p w14:paraId="6FC7F24C"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Share of vehicular exhaust to PM</w:t>
            </w:r>
            <w:r w:rsidRPr="00A40217">
              <w:rPr>
                <w:rFonts w:asciiTheme="minorHAnsi" w:hAnsiTheme="minorHAnsi" w:cstheme="minorHAnsi"/>
                <w:sz w:val="18"/>
                <w:vertAlign w:val="subscript"/>
              </w:rPr>
              <w:t>2.5</w:t>
            </w:r>
            <w:r w:rsidRPr="00A40217">
              <w:rPr>
                <w:rFonts w:asciiTheme="minorHAnsi" w:hAnsiTheme="minorHAnsi" w:cstheme="minorHAnsi"/>
                <w:sz w:val="18"/>
              </w:rPr>
              <w:t xml:space="preserve"> concentration (%)</w:t>
            </w:r>
          </w:p>
        </w:tc>
        <w:tc>
          <w:tcPr>
            <w:tcW w:w="3150" w:type="dxa"/>
            <w:gridSpan w:val="2"/>
          </w:tcPr>
          <w:p w14:paraId="64A74305"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 xml:space="preserve">Triangular distribution </w:t>
            </w:r>
          </w:p>
          <w:p w14:paraId="7FC308EE"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(20, 25, 30)</w:t>
            </w:r>
          </w:p>
        </w:tc>
        <w:tc>
          <w:tcPr>
            <w:tcW w:w="3801" w:type="dxa"/>
          </w:tcPr>
          <w:p w14:paraId="783A84CC"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Pant et al. (2015) estimated share of vehicular exhaust – 16-19% (only primary emissions)</w:t>
            </w:r>
          </w:p>
          <w:p w14:paraId="78058D80"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This study – 30% (both primary and secondary</w:t>
            </w:r>
            <w:proofErr w:type="gramStart"/>
            <w:r w:rsidRPr="00A40217">
              <w:rPr>
                <w:rFonts w:asciiTheme="minorHAnsi" w:hAnsiTheme="minorHAnsi" w:cstheme="minorHAnsi"/>
                <w:sz w:val="18"/>
              </w:rPr>
              <w:t>);</w:t>
            </w:r>
            <w:proofErr w:type="gramEnd"/>
          </w:p>
          <w:p w14:paraId="08127066"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25% – author’s judgment</w:t>
            </w:r>
          </w:p>
        </w:tc>
      </w:tr>
      <w:tr w:rsidR="007B6E2E" w:rsidRPr="00A40217" w14:paraId="4832BDA6" w14:textId="77777777" w:rsidTr="00A36BB9">
        <w:trPr>
          <w:gridAfter w:val="1"/>
          <w:wAfter w:w="231" w:type="dxa"/>
        </w:trPr>
        <w:tc>
          <w:tcPr>
            <w:tcW w:w="2065" w:type="dxa"/>
          </w:tcPr>
          <w:p w14:paraId="1E0EB864"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 xml:space="preserve">Exponent for non-motorised modes in injury model </w:t>
            </w:r>
          </w:p>
        </w:tc>
        <w:tc>
          <w:tcPr>
            <w:tcW w:w="3150" w:type="dxa"/>
            <w:gridSpan w:val="2"/>
          </w:tcPr>
          <w:p w14:paraId="35C4A387"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 xml:space="preserve">Triangular distribution </w:t>
            </w:r>
          </w:p>
          <w:p w14:paraId="53C24BA8"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(0.3, 0.5, 0.7)</w:t>
            </w:r>
          </w:p>
        </w:tc>
        <w:tc>
          <w:tcPr>
            <w:tcW w:w="3801" w:type="dxa"/>
          </w:tcPr>
          <w:p w14:paraId="5FDD4F29"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Median, 5</w:t>
            </w:r>
            <w:r w:rsidRPr="00A40217">
              <w:rPr>
                <w:rFonts w:asciiTheme="minorHAnsi" w:hAnsiTheme="minorHAnsi" w:cstheme="minorHAnsi"/>
                <w:sz w:val="18"/>
                <w:vertAlign w:val="superscript"/>
              </w:rPr>
              <w:t>th</w:t>
            </w:r>
            <w:r w:rsidRPr="00A40217">
              <w:rPr>
                <w:rFonts w:asciiTheme="minorHAnsi" w:hAnsiTheme="minorHAnsi" w:cstheme="minorHAnsi"/>
                <w:sz w:val="18"/>
              </w:rPr>
              <w:t xml:space="preserve"> and 95</w:t>
            </w:r>
            <w:r w:rsidRPr="00A40217">
              <w:rPr>
                <w:rFonts w:asciiTheme="minorHAnsi" w:hAnsiTheme="minorHAnsi" w:cstheme="minorHAnsi"/>
                <w:sz w:val="18"/>
                <w:vertAlign w:val="superscript"/>
              </w:rPr>
              <w:t>th</w:t>
            </w:r>
            <w:r w:rsidRPr="00A40217">
              <w:rPr>
                <w:rFonts w:asciiTheme="minorHAnsi" w:hAnsiTheme="minorHAnsi" w:cstheme="minorHAnsi"/>
                <w:sz w:val="18"/>
              </w:rPr>
              <w:t xml:space="preserve"> percentile values reported in Elvik (2009) </w:t>
            </w:r>
          </w:p>
        </w:tc>
      </w:tr>
      <w:tr w:rsidR="007B6E2E" w:rsidRPr="00A40217" w14:paraId="701C1E2C" w14:textId="77777777" w:rsidTr="00A36BB9">
        <w:trPr>
          <w:gridAfter w:val="1"/>
          <w:wAfter w:w="231" w:type="dxa"/>
        </w:trPr>
        <w:tc>
          <w:tcPr>
            <w:tcW w:w="2065" w:type="dxa"/>
          </w:tcPr>
          <w:p w14:paraId="5DA25668"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Exponent for motorised modes in injury model</w:t>
            </w:r>
          </w:p>
        </w:tc>
        <w:tc>
          <w:tcPr>
            <w:tcW w:w="3150" w:type="dxa"/>
            <w:gridSpan w:val="2"/>
          </w:tcPr>
          <w:p w14:paraId="37D9AA19"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 xml:space="preserve">Triangular distribution </w:t>
            </w:r>
          </w:p>
          <w:p w14:paraId="345F6483"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(0.1, 0.5, 1)</w:t>
            </w:r>
          </w:p>
        </w:tc>
        <w:tc>
          <w:tcPr>
            <w:tcW w:w="3801" w:type="dxa"/>
          </w:tcPr>
          <w:p w14:paraId="4A9FD0DA" w14:textId="77777777" w:rsidR="007B6E2E" w:rsidRPr="00A40217" w:rsidRDefault="007B6E2E" w:rsidP="00A36BB9">
            <w:pPr>
              <w:pStyle w:val="NoSpacing"/>
              <w:jc w:val="left"/>
              <w:rPr>
                <w:rFonts w:asciiTheme="minorHAnsi" w:hAnsiTheme="minorHAnsi" w:cstheme="minorHAnsi"/>
                <w:sz w:val="18"/>
              </w:rPr>
            </w:pPr>
            <w:r w:rsidRPr="00A40217">
              <w:rPr>
                <w:rFonts w:asciiTheme="minorHAnsi" w:hAnsiTheme="minorHAnsi" w:cstheme="minorHAnsi"/>
                <w:sz w:val="18"/>
              </w:rPr>
              <w:t>Median, 5</w:t>
            </w:r>
            <w:r w:rsidRPr="00A40217">
              <w:rPr>
                <w:rFonts w:asciiTheme="minorHAnsi" w:hAnsiTheme="minorHAnsi" w:cstheme="minorHAnsi"/>
                <w:sz w:val="18"/>
                <w:vertAlign w:val="superscript"/>
              </w:rPr>
              <w:t>th</w:t>
            </w:r>
            <w:r w:rsidRPr="00A40217">
              <w:rPr>
                <w:rFonts w:asciiTheme="minorHAnsi" w:hAnsiTheme="minorHAnsi" w:cstheme="minorHAnsi"/>
                <w:sz w:val="18"/>
              </w:rPr>
              <w:t xml:space="preserve"> and 95</w:t>
            </w:r>
            <w:r w:rsidRPr="00A40217">
              <w:rPr>
                <w:rFonts w:asciiTheme="minorHAnsi" w:hAnsiTheme="minorHAnsi" w:cstheme="minorHAnsi"/>
                <w:sz w:val="18"/>
                <w:vertAlign w:val="superscript"/>
              </w:rPr>
              <w:t>th</w:t>
            </w:r>
            <w:r w:rsidRPr="00A40217">
              <w:rPr>
                <w:rFonts w:asciiTheme="minorHAnsi" w:hAnsiTheme="minorHAnsi" w:cstheme="minorHAnsi"/>
                <w:sz w:val="18"/>
              </w:rPr>
              <w:t xml:space="preserve"> percentile values reported in Elvik (2009)</w:t>
            </w:r>
          </w:p>
        </w:tc>
      </w:tr>
      <w:tr w:rsidR="007B6E2E" w:rsidRPr="00A40217" w14:paraId="19FED40F" w14:textId="77777777" w:rsidTr="00A36B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96"/>
        </w:trPr>
        <w:tc>
          <w:tcPr>
            <w:tcW w:w="4723" w:type="dxa"/>
            <w:gridSpan w:val="2"/>
          </w:tcPr>
          <w:p w14:paraId="01BE7C2B" w14:textId="77777777" w:rsidR="007B6E2E" w:rsidRPr="00A40217" w:rsidRDefault="007B6E2E" w:rsidP="00A36BB9">
            <w:pPr>
              <w:rPr>
                <w:rFonts w:cstheme="minorHAnsi"/>
                <w:noProof/>
              </w:rPr>
            </w:pPr>
            <w:bookmarkStart w:id="69" w:name="_Ref428459286"/>
          </w:p>
          <w:p w14:paraId="03AE2C9B" w14:textId="77777777" w:rsidR="007B6E2E" w:rsidRPr="00A40217" w:rsidRDefault="007B6E2E" w:rsidP="00A36BB9">
            <w:pPr>
              <w:rPr>
                <w:rFonts w:cstheme="minorHAnsi"/>
              </w:rPr>
            </w:pPr>
            <w:r w:rsidRPr="00A40217">
              <w:rPr>
                <w:rFonts w:cstheme="minorHAnsi"/>
                <w:noProof/>
                <w:lang w:val="en-GB" w:eastAsia="en-GB"/>
              </w:rPr>
              <w:drawing>
                <wp:inline distT="0" distB="0" distL="0" distR="0" wp14:anchorId="0C5EFF16" wp14:editId="6B110E10">
                  <wp:extent cx="2918684" cy="2008414"/>
                  <wp:effectExtent l="0" t="0" r="0" b="0"/>
                  <wp:docPr id="78" name="Picture 7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Chart, bar chart&#10;&#10;Description automatically generated"/>
                          <pic:cNvPicPr/>
                        </pic:nvPicPr>
                        <pic:blipFill>
                          <a:blip r:embed="rId29"/>
                          <a:stretch>
                            <a:fillRect/>
                          </a:stretch>
                        </pic:blipFill>
                        <pic:spPr>
                          <a:xfrm>
                            <a:off x="0" y="0"/>
                            <a:ext cx="2929362" cy="2015762"/>
                          </a:xfrm>
                          <a:prstGeom prst="rect">
                            <a:avLst/>
                          </a:prstGeom>
                        </pic:spPr>
                      </pic:pic>
                    </a:graphicData>
                  </a:graphic>
                </wp:inline>
              </w:drawing>
            </w:r>
          </w:p>
        </w:tc>
        <w:tc>
          <w:tcPr>
            <w:tcW w:w="4524" w:type="dxa"/>
            <w:gridSpan w:val="3"/>
          </w:tcPr>
          <w:p w14:paraId="4BF1E584" w14:textId="77777777" w:rsidR="007B6E2E" w:rsidRPr="00A40217" w:rsidRDefault="007B6E2E" w:rsidP="00A36BB9">
            <w:pPr>
              <w:ind w:left="-108"/>
              <w:rPr>
                <w:rFonts w:cstheme="minorHAnsi"/>
              </w:rPr>
            </w:pPr>
            <w:r w:rsidRPr="00A40217">
              <w:rPr>
                <w:rFonts w:cstheme="minorHAnsi"/>
                <w:noProof/>
                <w:lang w:val="en-GB" w:eastAsia="en-GB"/>
              </w:rPr>
              <w:drawing>
                <wp:inline distT="0" distB="0" distL="0" distR="0" wp14:anchorId="696DE997" wp14:editId="5BB8DB64">
                  <wp:extent cx="2628900" cy="2262185"/>
                  <wp:effectExtent l="0" t="0" r="0" b="5080"/>
                  <wp:docPr id="79" name="Picture 7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Chart, histogram&#10;&#10;Description automatically generated"/>
                          <pic:cNvPicPr/>
                        </pic:nvPicPr>
                        <pic:blipFill rotWithShape="1">
                          <a:blip r:embed="rId30"/>
                          <a:srcRect l="1023" t="-4163" r="2617" b="-1"/>
                          <a:stretch/>
                        </pic:blipFill>
                        <pic:spPr bwMode="auto">
                          <a:xfrm>
                            <a:off x="0" y="0"/>
                            <a:ext cx="2635519" cy="2267881"/>
                          </a:xfrm>
                          <a:prstGeom prst="rect">
                            <a:avLst/>
                          </a:prstGeom>
                          <a:ln>
                            <a:noFill/>
                          </a:ln>
                          <a:extLst>
                            <a:ext uri="{53640926-AAD7-44D8-BBD7-CCE9431645EC}">
                              <a14:shadowObscured xmlns:a14="http://schemas.microsoft.com/office/drawing/2010/main"/>
                            </a:ext>
                          </a:extLst>
                        </pic:spPr>
                      </pic:pic>
                    </a:graphicData>
                  </a:graphic>
                </wp:inline>
              </w:drawing>
            </w:r>
          </w:p>
        </w:tc>
      </w:tr>
      <w:tr w:rsidR="007B6E2E" w:rsidRPr="00A40217" w14:paraId="6C745346" w14:textId="77777777" w:rsidTr="00A36B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23" w:type="dxa"/>
            <w:gridSpan w:val="2"/>
          </w:tcPr>
          <w:p w14:paraId="601A0935" w14:textId="77777777" w:rsidR="007B6E2E" w:rsidRPr="00A40217" w:rsidRDefault="007B6E2E" w:rsidP="007B6E2E">
            <w:pPr>
              <w:pStyle w:val="ListParagraph"/>
              <w:numPr>
                <w:ilvl w:val="0"/>
                <w:numId w:val="3"/>
              </w:numPr>
              <w:spacing w:after="0" w:line="240" w:lineRule="auto"/>
              <w:ind w:left="427"/>
              <w:rPr>
                <w:rFonts w:cstheme="minorHAnsi"/>
                <w:b/>
              </w:rPr>
            </w:pPr>
            <w:r w:rsidRPr="00A40217">
              <w:rPr>
                <w:rFonts w:cstheme="minorHAnsi"/>
                <w:b/>
              </w:rPr>
              <w:lastRenderedPageBreak/>
              <w:t>Triangular distribution of per-capita trip-rate</w:t>
            </w:r>
          </w:p>
        </w:tc>
        <w:tc>
          <w:tcPr>
            <w:tcW w:w="4524" w:type="dxa"/>
            <w:gridSpan w:val="3"/>
          </w:tcPr>
          <w:p w14:paraId="61E01436" w14:textId="77777777" w:rsidR="007B6E2E" w:rsidRPr="00A40217" w:rsidRDefault="007B6E2E" w:rsidP="007B6E2E">
            <w:pPr>
              <w:pStyle w:val="ListParagraph"/>
              <w:numPr>
                <w:ilvl w:val="0"/>
                <w:numId w:val="3"/>
              </w:numPr>
              <w:spacing w:after="0" w:line="240" w:lineRule="auto"/>
              <w:ind w:left="443"/>
              <w:rPr>
                <w:rFonts w:cstheme="minorHAnsi"/>
                <w:b/>
              </w:rPr>
            </w:pPr>
            <w:r w:rsidRPr="00A40217">
              <w:rPr>
                <w:rFonts w:cstheme="minorHAnsi"/>
                <w:b/>
              </w:rPr>
              <w:t>Normal distribution of PM</w:t>
            </w:r>
            <w:r w:rsidRPr="00A40217">
              <w:rPr>
                <w:rFonts w:cstheme="minorHAnsi"/>
                <w:b/>
                <w:vertAlign w:val="subscript"/>
              </w:rPr>
              <w:t>2.5</w:t>
            </w:r>
            <w:r w:rsidRPr="00A40217">
              <w:rPr>
                <w:rFonts w:cstheme="minorHAnsi"/>
                <w:b/>
              </w:rPr>
              <w:t xml:space="preserve"> dose-response coefficient of cardio-respiratory diseases</w:t>
            </w:r>
          </w:p>
        </w:tc>
      </w:tr>
    </w:tbl>
    <w:p w14:paraId="45ABA7B4" w14:textId="547A92AA" w:rsidR="007B6E2E" w:rsidRPr="00A40217" w:rsidRDefault="007B6E2E" w:rsidP="007B6E2E">
      <w:pPr>
        <w:pStyle w:val="Caption"/>
        <w:rPr>
          <w:rFonts w:asciiTheme="minorHAnsi" w:hAnsiTheme="minorHAnsi" w:cstheme="minorHAnsi"/>
        </w:rPr>
      </w:pPr>
      <w:bookmarkStart w:id="70" w:name="_Ref429575659"/>
      <w:bookmarkStart w:id="71" w:name="_Toc476818728"/>
      <w:r w:rsidRPr="00A40217">
        <w:rPr>
          <w:rFonts w:asciiTheme="minorHAnsi" w:hAnsiTheme="minorHAnsi" w:cstheme="minorHAnsi"/>
        </w:rPr>
        <w:t>Figure</w:t>
      </w:r>
      <w:bookmarkEnd w:id="70"/>
      <w:r w:rsidRPr="00A40217">
        <w:rPr>
          <w:rFonts w:asciiTheme="minorHAnsi" w:hAnsiTheme="minorHAnsi" w:cstheme="minorHAnsi"/>
        </w:rPr>
        <w:t xml:space="preserve"> 15: Examples of probability distributions of the input parameters used for uncertainty analysis</w:t>
      </w:r>
      <w:bookmarkEnd w:id="71"/>
    </w:p>
    <w:p w14:paraId="654D8738" w14:textId="45DF2806" w:rsidR="007B6E2E" w:rsidRPr="00A40217" w:rsidRDefault="00F24817" w:rsidP="007B6E2E">
      <w:pPr>
        <w:keepNext/>
        <w:rPr>
          <w:rFonts w:cstheme="minorHAnsi"/>
        </w:rPr>
      </w:pPr>
      <w:r>
        <w:rPr>
          <w:rFonts w:cstheme="minorHAnsi"/>
        </w:rPr>
        <w:t xml:space="preserve">Figure 16 </w:t>
      </w:r>
      <w:r w:rsidR="007B6E2E" w:rsidRPr="00A40217">
        <w:rPr>
          <w:rFonts w:cstheme="minorHAnsi"/>
        </w:rPr>
        <w:t xml:space="preserve">presents distribution of all-cause mortality estimates due to physical activity and air pollution, using 10,000 iterations of MCS analysis. </w:t>
      </w:r>
    </w:p>
    <w:bookmarkEnd w:id="69"/>
    <w:p w14:paraId="3410769C" w14:textId="77777777" w:rsidR="007B6E2E" w:rsidRPr="00A40217" w:rsidRDefault="007B6E2E" w:rsidP="007B6E2E">
      <w:pPr>
        <w:keepNext/>
        <w:jc w:val="center"/>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B6E2E" w:rsidRPr="00A40217" w14:paraId="7ADE2CA1" w14:textId="77777777" w:rsidTr="00A36BB9">
        <w:tc>
          <w:tcPr>
            <w:tcW w:w="4508" w:type="dxa"/>
          </w:tcPr>
          <w:p w14:paraId="76A31476" w14:textId="77777777" w:rsidR="007B6E2E" w:rsidRPr="00A40217" w:rsidRDefault="007B6E2E" w:rsidP="00A36BB9">
            <w:pPr>
              <w:keepNext/>
              <w:jc w:val="center"/>
              <w:rPr>
                <w:rFonts w:cstheme="minorHAnsi"/>
              </w:rPr>
            </w:pPr>
            <w:r w:rsidRPr="00A40217">
              <w:rPr>
                <w:rFonts w:cstheme="minorHAnsi"/>
                <w:noProof/>
                <w:lang w:val="en-GB" w:eastAsia="en-GB"/>
              </w:rPr>
              <w:drawing>
                <wp:inline distT="0" distB="0" distL="0" distR="0" wp14:anchorId="03C4844C" wp14:editId="25141607">
                  <wp:extent cx="2743200" cy="2085208"/>
                  <wp:effectExtent l="0" t="0" r="0" b="0"/>
                  <wp:docPr id="80" name="Picture 8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Chart, histogram&#10;&#10;Description automatically generated"/>
                          <pic:cNvPicPr/>
                        </pic:nvPicPr>
                        <pic:blipFill>
                          <a:blip r:embed="rId31"/>
                          <a:stretch>
                            <a:fillRect/>
                          </a:stretch>
                        </pic:blipFill>
                        <pic:spPr>
                          <a:xfrm>
                            <a:off x="0" y="0"/>
                            <a:ext cx="2743200" cy="2085208"/>
                          </a:xfrm>
                          <a:prstGeom prst="rect">
                            <a:avLst/>
                          </a:prstGeom>
                        </pic:spPr>
                      </pic:pic>
                    </a:graphicData>
                  </a:graphic>
                </wp:inline>
              </w:drawing>
            </w:r>
          </w:p>
        </w:tc>
        <w:tc>
          <w:tcPr>
            <w:tcW w:w="4508" w:type="dxa"/>
          </w:tcPr>
          <w:p w14:paraId="6954F23E" w14:textId="77777777" w:rsidR="007B6E2E" w:rsidRPr="00A40217" w:rsidRDefault="007B6E2E" w:rsidP="00A36BB9">
            <w:pPr>
              <w:keepNext/>
              <w:jc w:val="center"/>
              <w:rPr>
                <w:rFonts w:cstheme="minorHAnsi"/>
              </w:rPr>
            </w:pPr>
            <w:r w:rsidRPr="00A40217">
              <w:rPr>
                <w:rFonts w:cstheme="minorHAnsi"/>
                <w:noProof/>
                <w:lang w:val="en-GB" w:eastAsia="en-GB"/>
              </w:rPr>
              <w:drawing>
                <wp:inline distT="0" distB="0" distL="0" distR="0" wp14:anchorId="0E9DC9C9" wp14:editId="5652E32F">
                  <wp:extent cx="2743200" cy="2133836"/>
                  <wp:effectExtent l="0" t="0" r="0" b="0"/>
                  <wp:docPr id="81" name="Picture 81"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Chart, bar chart, histogram&#10;&#10;Description automatically generated"/>
                          <pic:cNvPicPr/>
                        </pic:nvPicPr>
                        <pic:blipFill>
                          <a:blip r:embed="rId32"/>
                          <a:stretch>
                            <a:fillRect/>
                          </a:stretch>
                        </pic:blipFill>
                        <pic:spPr>
                          <a:xfrm>
                            <a:off x="0" y="0"/>
                            <a:ext cx="2743200" cy="2133836"/>
                          </a:xfrm>
                          <a:prstGeom prst="rect">
                            <a:avLst/>
                          </a:prstGeom>
                        </pic:spPr>
                      </pic:pic>
                    </a:graphicData>
                  </a:graphic>
                </wp:inline>
              </w:drawing>
            </w:r>
          </w:p>
        </w:tc>
      </w:tr>
      <w:tr w:rsidR="007B6E2E" w:rsidRPr="00A40217" w14:paraId="1ED77D14" w14:textId="77777777" w:rsidTr="00A36BB9">
        <w:tc>
          <w:tcPr>
            <w:tcW w:w="4508" w:type="dxa"/>
          </w:tcPr>
          <w:p w14:paraId="38632336" w14:textId="77777777" w:rsidR="007B6E2E" w:rsidRPr="00A40217" w:rsidRDefault="007B6E2E" w:rsidP="007B6E2E">
            <w:pPr>
              <w:pStyle w:val="ListParagraph"/>
              <w:keepNext/>
              <w:numPr>
                <w:ilvl w:val="0"/>
                <w:numId w:val="2"/>
              </w:numPr>
              <w:spacing w:after="0" w:line="240" w:lineRule="auto"/>
              <w:ind w:left="337"/>
              <w:rPr>
                <w:rFonts w:cstheme="minorHAnsi"/>
                <w:b/>
              </w:rPr>
            </w:pPr>
            <w:r w:rsidRPr="00A40217">
              <w:rPr>
                <w:rFonts w:cstheme="minorHAnsi"/>
                <w:b/>
              </w:rPr>
              <w:t>Physical activity</w:t>
            </w:r>
          </w:p>
        </w:tc>
        <w:tc>
          <w:tcPr>
            <w:tcW w:w="4508" w:type="dxa"/>
          </w:tcPr>
          <w:p w14:paraId="4E4A98DF" w14:textId="77777777" w:rsidR="007B6E2E" w:rsidRPr="00A40217" w:rsidRDefault="007B6E2E" w:rsidP="007B6E2E">
            <w:pPr>
              <w:pStyle w:val="ListParagraph"/>
              <w:keepNext/>
              <w:numPr>
                <w:ilvl w:val="0"/>
                <w:numId w:val="2"/>
              </w:numPr>
              <w:spacing w:after="0" w:line="240" w:lineRule="auto"/>
              <w:ind w:left="329"/>
              <w:rPr>
                <w:rFonts w:cstheme="minorHAnsi"/>
                <w:b/>
              </w:rPr>
            </w:pPr>
            <w:r w:rsidRPr="00A40217">
              <w:rPr>
                <w:rFonts w:cstheme="minorHAnsi"/>
                <w:b/>
              </w:rPr>
              <w:t>PM</w:t>
            </w:r>
            <w:r w:rsidRPr="00A40217">
              <w:rPr>
                <w:rFonts w:cstheme="minorHAnsi"/>
                <w:b/>
                <w:vertAlign w:val="subscript"/>
              </w:rPr>
              <w:t>2.5</w:t>
            </w:r>
            <w:r w:rsidRPr="00A40217">
              <w:rPr>
                <w:rFonts w:cstheme="minorHAnsi"/>
                <w:b/>
              </w:rPr>
              <w:t xml:space="preserve"> pollution from road transport</w:t>
            </w:r>
          </w:p>
        </w:tc>
      </w:tr>
    </w:tbl>
    <w:p w14:paraId="4BE6287B" w14:textId="5197969B" w:rsidR="007B6E2E" w:rsidRPr="00A40217" w:rsidRDefault="007B6E2E" w:rsidP="007B6E2E">
      <w:pPr>
        <w:pStyle w:val="Caption"/>
        <w:jc w:val="center"/>
        <w:rPr>
          <w:rFonts w:asciiTheme="minorHAnsi" w:hAnsiTheme="minorHAnsi" w:cstheme="minorHAnsi"/>
        </w:rPr>
      </w:pPr>
      <w:bookmarkStart w:id="72" w:name="_Ref433625320"/>
      <w:bookmarkStart w:id="73" w:name="_Ref433625304"/>
      <w:bookmarkStart w:id="74" w:name="_Toc476818729"/>
      <w:r w:rsidRPr="00A40217">
        <w:rPr>
          <w:rFonts w:asciiTheme="minorHAnsi" w:hAnsiTheme="minorHAnsi" w:cstheme="minorHAnsi"/>
        </w:rPr>
        <w:t xml:space="preserve">Figure </w:t>
      </w:r>
      <w:bookmarkEnd w:id="72"/>
      <w:r w:rsidR="00F24817">
        <w:rPr>
          <w:rFonts w:asciiTheme="minorHAnsi" w:hAnsiTheme="minorHAnsi" w:cstheme="minorHAnsi"/>
        </w:rPr>
        <w:t>16:</w:t>
      </w:r>
      <w:r w:rsidRPr="00A40217">
        <w:rPr>
          <w:rFonts w:asciiTheme="minorHAnsi" w:hAnsiTheme="minorHAnsi" w:cstheme="minorHAnsi"/>
        </w:rPr>
        <w:t xml:space="preserve"> Distribution of all-cause mortality estimated using 10,000 Monte Carlo simulation iterations</w:t>
      </w:r>
      <w:bookmarkEnd w:id="73"/>
      <w:bookmarkEnd w:id="74"/>
    </w:p>
    <w:p w14:paraId="57ABC3B5" w14:textId="50BD6196" w:rsidR="007B6E2E" w:rsidRPr="00A40217" w:rsidRDefault="007B6E2E" w:rsidP="007B6E2E">
      <w:pPr>
        <w:rPr>
          <w:rFonts w:cstheme="minorHAnsi"/>
        </w:rPr>
      </w:pPr>
      <w:proofErr w:type="gramStart"/>
      <w:r w:rsidRPr="00A40217">
        <w:rPr>
          <w:rFonts w:cstheme="minorHAnsi"/>
        </w:rPr>
        <w:t>In order to</w:t>
      </w:r>
      <w:proofErr w:type="gramEnd"/>
      <w:r w:rsidRPr="00A40217">
        <w:rPr>
          <w:rFonts w:cstheme="minorHAnsi"/>
        </w:rPr>
        <w:t xml:space="preserve"> understand the importance of different parameters </w:t>
      </w:r>
      <w:r w:rsidR="00F24817">
        <w:rPr>
          <w:rFonts w:cstheme="minorHAnsi"/>
        </w:rPr>
        <w:t>(Table 10</w:t>
      </w:r>
      <w:r w:rsidRPr="00A40217">
        <w:rPr>
          <w:rFonts w:cstheme="minorHAnsi"/>
        </w:rPr>
        <w:t>) in determining all-cause mortality estimates, Spearman’s rank-order correlation was calculated between each of the parameters and all-cause mortality, for physical activity and PM</w:t>
      </w:r>
      <w:r w:rsidRPr="00A40217">
        <w:rPr>
          <w:rFonts w:cstheme="minorHAnsi"/>
          <w:vertAlign w:val="subscript"/>
        </w:rPr>
        <w:t>2.5</w:t>
      </w:r>
      <w:r w:rsidRPr="00A40217">
        <w:rPr>
          <w:rFonts w:cstheme="minorHAnsi"/>
        </w:rPr>
        <w:t xml:space="preserve"> pollution (see</w:t>
      </w:r>
      <w:r w:rsidR="00F24817">
        <w:rPr>
          <w:rFonts w:cstheme="minorHAnsi"/>
        </w:rPr>
        <w:t xml:space="preserve"> Figure 17</w:t>
      </w:r>
      <w:r w:rsidRPr="00A40217">
        <w:rPr>
          <w:rFonts w:cstheme="minorHAnsi"/>
        </w:rPr>
        <w:t>). The Spearman correlation coefficient is defined as the Pearson correlation coefficient between the ranked variables. For physical activity as well as PM</w:t>
      </w:r>
      <w:r w:rsidRPr="00A40217">
        <w:rPr>
          <w:rFonts w:cstheme="minorHAnsi"/>
          <w:vertAlign w:val="subscript"/>
        </w:rPr>
        <w:t>2.5</w:t>
      </w:r>
      <w:r w:rsidRPr="00A40217">
        <w:rPr>
          <w:rFonts w:cstheme="minorHAnsi"/>
        </w:rPr>
        <w:t xml:space="preserve"> pollution, the dose-response-function related parameters are the main variables affecting all-cause mortality. Among, travel-behaviour related parameters, mode share of walking has minimal effect and trip rate and scaling parameter for weekend travel activity are equally more important. In PM</w:t>
      </w:r>
      <w:r w:rsidRPr="00A40217">
        <w:rPr>
          <w:rFonts w:cstheme="minorHAnsi"/>
          <w:vertAlign w:val="subscript"/>
        </w:rPr>
        <w:t>2.5</w:t>
      </w:r>
      <w:r w:rsidRPr="00A40217">
        <w:rPr>
          <w:rFonts w:cstheme="minorHAnsi"/>
        </w:rPr>
        <w:t xml:space="preserve"> pollution, percent share of transport is also an important parameter affecting the estimate of mortality.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B6E2E" w:rsidRPr="00A40217" w14:paraId="39E96BB2" w14:textId="77777777" w:rsidTr="00A36BB9">
        <w:tc>
          <w:tcPr>
            <w:tcW w:w="4508" w:type="dxa"/>
          </w:tcPr>
          <w:p w14:paraId="737FEC77" w14:textId="77777777" w:rsidR="007B6E2E" w:rsidRPr="00A40217" w:rsidRDefault="007B6E2E" w:rsidP="00A36BB9">
            <w:pPr>
              <w:keepNext/>
              <w:jc w:val="center"/>
              <w:rPr>
                <w:rFonts w:cstheme="minorHAnsi"/>
              </w:rPr>
            </w:pPr>
            <w:r w:rsidRPr="00A40217">
              <w:rPr>
                <w:rFonts w:cstheme="minorHAnsi"/>
                <w:noProof/>
                <w:lang w:val="en-GB" w:eastAsia="en-GB"/>
              </w:rPr>
              <w:lastRenderedPageBreak/>
              <w:drawing>
                <wp:inline distT="0" distB="0" distL="0" distR="0" wp14:anchorId="44E260A2" wp14:editId="3BA20988">
                  <wp:extent cx="2743200" cy="1742689"/>
                  <wp:effectExtent l="0" t="0" r="0" b="0"/>
                  <wp:docPr id="82" name="Picture 82" descr="Chart, bar chart,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Chart, bar chart, funnel chart&#10;&#10;Description automatically generated"/>
                          <pic:cNvPicPr/>
                        </pic:nvPicPr>
                        <pic:blipFill>
                          <a:blip r:embed="rId33"/>
                          <a:stretch>
                            <a:fillRect/>
                          </a:stretch>
                        </pic:blipFill>
                        <pic:spPr>
                          <a:xfrm>
                            <a:off x="0" y="0"/>
                            <a:ext cx="2743200" cy="1742689"/>
                          </a:xfrm>
                          <a:prstGeom prst="rect">
                            <a:avLst/>
                          </a:prstGeom>
                        </pic:spPr>
                      </pic:pic>
                    </a:graphicData>
                  </a:graphic>
                </wp:inline>
              </w:drawing>
            </w:r>
          </w:p>
        </w:tc>
        <w:tc>
          <w:tcPr>
            <w:tcW w:w="4508" w:type="dxa"/>
          </w:tcPr>
          <w:p w14:paraId="0D9F78C9" w14:textId="77777777" w:rsidR="007B6E2E" w:rsidRPr="00A40217" w:rsidRDefault="007B6E2E" w:rsidP="00A36BB9">
            <w:pPr>
              <w:keepNext/>
              <w:jc w:val="center"/>
              <w:rPr>
                <w:rFonts w:cstheme="minorHAnsi"/>
              </w:rPr>
            </w:pPr>
            <w:r w:rsidRPr="00A40217">
              <w:rPr>
                <w:rFonts w:cstheme="minorHAnsi"/>
                <w:noProof/>
                <w:lang w:val="en-GB" w:eastAsia="en-GB"/>
              </w:rPr>
              <w:drawing>
                <wp:inline distT="0" distB="0" distL="0" distR="0" wp14:anchorId="525488B6" wp14:editId="100D93F3">
                  <wp:extent cx="2743200" cy="1737218"/>
                  <wp:effectExtent l="0" t="0" r="0" b="0"/>
                  <wp:docPr id="83" name="Picture 8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Chart&#10;&#10;Description automatically generated"/>
                          <pic:cNvPicPr/>
                        </pic:nvPicPr>
                        <pic:blipFill>
                          <a:blip r:embed="rId34"/>
                          <a:stretch>
                            <a:fillRect/>
                          </a:stretch>
                        </pic:blipFill>
                        <pic:spPr>
                          <a:xfrm>
                            <a:off x="0" y="0"/>
                            <a:ext cx="2743200" cy="1737218"/>
                          </a:xfrm>
                          <a:prstGeom prst="rect">
                            <a:avLst/>
                          </a:prstGeom>
                        </pic:spPr>
                      </pic:pic>
                    </a:graphicData>
                  </a:graphic>
                </wp:inline>
              </w:drawing>
            </w:r>
          </w:p>
        </w:tc>
      </w:tr>
      <w:tr w:rsidR="007B6E2E" w:rsidRPr="00A40217" w14:paraId="42618B53" w14:textId="77777777" w:rsidTr="00A36BB9">
        <w:tc>
          <w:tcPr>
            <w:tcW w:w="4508" w:type="dxa"/>
          </w:tcPr>
          <w:p w14:paraId="4AD559BD" w14:textId="77777777" w:rsidR="007B6E2E" w:rsidRPr="00A40217" w:rsidRDefault="007B6E2E" w:rsidP="007B6E2E">
            <w:pPr>
              <w:pStyle w:val="ListParagraph"/>
              <w:keepNext/>
              <w:numPr>
                <w:ilvl w:val="0"/>
                <w:numId w:val="4"/>
              </w:numPr>
              <w:ind w:left="427" w:hanging="450"/>
              <w:rPr>
                <w:rFonts w:cstheme="minorHAnsi"/>
                <w:b/>
              </w:rPr>
            </w:pPr>
            <w:r w:rsidRPr="00A40217">
              <w:rPr>
                <w:rFonts w:cstheme="minorHAnsi"/>
                <w:b/>
              </w:rPr>
              <w:t>Physical activity</w:t>
            </w:r>
          </w:p>
        </w:tc>
        <w:tc>
          <w:tcPr>
            <w:tcW w:w="4508" w:type="dxa"/>
          </w:tcPr>
          <w:p w14:paraId="75E08BD6" w14:textId="77777777" w:rsidR="007B6E2E" w:rsidRPr="00A40217" w:rsidRDefault="007B6E2E" w:rsidP="007B6E2E">
            <w:pPr>
              <w:pStyle w:val="ListParagraph"/>
              <w:keepNext/>
              <w:numPr>
                <w:ilvl w:val="0"/>
                <w:numId w:val="4"/>
              </w:numPr>
              <w:ind w:left="427" w:hanging="450"/>
              <w:rPr>
                <w:rFonts w:cstheme="minorHAnsi"/>
                <w:b/>
              </w:rPr>
            </w:pPr>
            <w:r w:rsidRPr="00A40217">
              <w:rPr>
                <w:rFonts w:cstheme="minorHAnsi"/>
                <w:b/>
              </w:rPr>
              <w:t>PM</w:t>
            </w:r>
            <w:r w:rsidRPr="00A40217">
              <w:rPr>
                <w:rFonts w:cstheme="minorHAnsi"/>
                <w:b/>
                <w:vertAlign w:val="subscript"/>
              </w:rPr>
              <w:t xml:space="preserve">2.5 </w:t>
            </w:r>
            <w:r w:rsidRPr="00A40217">
              <w:rPr>
                <w:rFonts w:cstheme="minorHAnsi"/>
                <w:b/>
              </w:rPr>
              <w:t>Pollution</w:t>
            </w:r>
          </w:p>
        </w:tc>
      </w:tr>
    </w:tbl>
    <w:p w14:paraId="332ACF49" w14:textId="684EF540" w:rsidR="007B6E2E" w:rsidRPr="00A40217" w:rsidRDefault="007B6E2E" w:rsidP="007B6E2E">
      <w:pPr>
        <w:pStyle w:val="Caption"/>
        <w:jc w:val="center"/>
        <w:rPr>
          <w:rFonts w:asciiTheme="minorHAnsi" w:hAnsiTheme="minorHAnsi" w:cstheme="minorHAnsi"/>
        </w:rPr>
      </w:pPr>
      <w:bookmarkStart w:id="75" w:name="_Ref430164545"/>
      <w:bookmarkStart w:id="76" w:name="_Toc476818730"/>
      <w:r w:rsidRPr="00A40217">
        <w:rPr>
          <w:rFonts w:asciiTheme="minorHAnsi" w:hAnsiTheme="minorHAnsi" w:cstheme="minorHAnsi"/>
        </w:rPr>
        <w:t>Figure</w:t>
      </w:r>
      <w:bookmarkEnd w:id="75"/>
      <w:r w:rsidR="00F24817">
        <w:rPr>
          <w:rFonts w:asciiTheme="minorHAnsi" w:hAnsiTheme="minorHAnsi" w:cstheme="minorHAnsi"/>
        </w:rPr>
        <w:t xml:space="preserve"> 17:</w:t>
      </w:r>
      <w:r w:rsidRPr="00A40217">
        <w:rPr>
          <w:rFonts w:asciiTheme="minorHAnsi" w:hAnsiTheme="minorHAnsi" w:cstheme="minorHAnsi"/>
        </w:rPr>
        <w:t xml:space="preserve"> Spearman’s rank-correlation between input parameters and all-cause mortality estimates</w:t>
      </w:r>
      <w:bookmarkEnd w:id="76"/>
    </w:p>
    <w:p w14:paraId="13662DAB" w14:textId="6DFB039C" w:rsidR="00F04D42" w:rsidRDefault="00F04D42" w:rsidP="00D600D4">
      <w:pPr>
        <w:rPr>
          <w:rFonts w:cstheme="minorHAnsi"/>
        </w:rPr>
      </w:pPr>
    </w:p>
    <w:p w14:paraId="51C67434" w14:textId="25B3E935" w:rsidR="00DB37E4" w:rsidRDefault="00DB37E4" w:rsidP="00030791">
      <w:pPr>
        <w:pStyle w:val="Heading1"/>
        <w:spacing w:after="0"/>
      </w:pPr>
      <w:r>
        <w:t>REFERENCES</w:t>
      </w:r>
    </w:p>
    <w:p w14:paraId="12AB14F7" w14:textId="77777777" w:rsidR="00030791" w:rsidRDefault="00030791" w:rsidP="00030791">
      <w:r>
        <w:t xml:space="preserve">Angel, S., Parent, J., </w:t>
      </w:r>
      <w:proofErr w:type="spellStart"/>
      <w:r>
        <w:t>Civco</w:t>
      </w:r>
      <w:proofErr w:type="spellEnd"/>
      <w:r>
        <w:t xml:space="preserve">, D. L., &amp; </w:t>
      </w:r>
      <w:proofErr w:type="spellStart"/>
      <w:r>
        <w:t>Blei</w:t>
      </w:r>
      <w:proofErr w:type="spellEnd"/>
      <w:r>
        <w:t>, A. M. (2010). The persistent decline in urban densities: Global and historical evidence of sprawl. Lincoln Institute of Land Policy Working Paper.</w:t>
      </w:r>
    </w:p>
    <w:p w14:paraId="4850125C" w14:textId="77777777" w:rsidR="00030791" w:rsidRDefault="00030791" w:rsidP="00030791">
      <w:r>
        <w:t xml:space="preserve">Burnett, R. et al. (2018) ‘Global estimates of mortality associated with </w:t>
      </w:r>
      <w:proofErr w:type="spellStart"/>
      <w:r>
        <w:t>longterm</w:t>
      </w:r>
      <w:proofErr w:type="spellEnd"/>
      <w:r>
        <w:t xml:space="preserve"> exposure to outdoor fine particulate matter’, Proceedings of the National Academy of Sciences of the United States of America, 115(38), pp. 9592–9597. </w:t>
      </w:r>
    </w:p>
    <w:p w14:paraId="42DD3577" w14:textId="77777777" w:rsidR="00030791" w:rsidRDefault="00030791" w:rsidP="00030791">
      <w:r>
        <w:t>Calori, G., &amp; Carmichael, G. R. (1999). An urban trajectory model for sulphur in Asian megacities: model concepts and preliminary application. Atmospheric Environment, 33(19), 3109-3117.</w:t>
      </w:r>
    </w:p>
    <w:p w14:paraId="3B58F6E3" w14:textId="77777777" w:rsidR="00030791" w:rsidRDefault="00030791" w:rsidP="00030791">
      <w:r>
        <w:t>Census-India (2012). Census of India, 2011. The Government of India, New Delhi, India.</w:t>
      </w:r>
    </w:p>
    <w:p w14:paraId="5F044871" w14:textId="77777777" w:rsidR="00030791" w:rsidRDefault="00030791" w:rsidP="00030791">
      <w:r>
        <w:t>Elvik, R. (2009). The non-linearity of risk and the promotion of environmentally sustainable transport, Accident Analysis &amp; Prevention, vol. 41, no. 4, pp. 849-855.</w:t>
      </w:r>
    </w:p>
    <w:p w14:paraId="425BF90F" w14:textId="77777777" w:rsidR="00030791" w:rsidRDefault="00030791" w:rsidP="00030791">
      <w:proofErr w:type="spellStart"/>
      <w:r>
        <w:t>Ezzati</w:t>
      </w:r>
      <w:proofErr w:type="spellEnd"/>
      <w:r>
        <w:t>, M. (Ed.) (2004). Physical inactivity. Comparative Quantification of Health Risks Global and Regional Burden of Disease Attributable to Selected Major Risk Factors. Geneva: World Health Organization, 729-881.</w:t>
      </w:r>
    </w:p>
    <w:p w14:paraId="5D6E7E67" w14:textId="77777777" w:rsidR="00030791" w:rsidRDefault="00030791" w:rsidP="00030791">
      <w:r>
        <w:t xml:space="preserve">Goel, R., </w:t>
      </w:r>
      <w:proofErr w:type="spellStart"/>
      <w:r>
        <w:t>Gani</w:t>
      </w:r>
      <w:proofErr w:type="spellEnd"/>
      <w:r>
        <w:t xml:space="preserve">, S., et al. (2015) ‘On-road PM2.5 pollution exposure in multiple transport microenvironments in Delhi’, Atmospheric Environment. Elsevier Ltd, 123, pp. 129–138. </w:t>
      </w:r>
    </w:p>
    <w:p w14:paraId="72F419F8" w14:textId="77777777" w:rsidR="00030791" w:rsidRDefault="00030791" w:rsidP="00030791">
      <w:r>
        <w:t>Götschi, T. et al. (2015) ‘Contrasts in active transport behaviour across four countries: How do they translate into public health benefits?’, Preventive medicine. Elsevier, 74, pp. 42–48.</w:t>
      </w:r>
    </w:p>
    <w:p w14:paraId="19953628" w14:textId="77777777" w:rsidR="00030791" w:rsidRDefault="00030791" w:rsidP="00030791">
      <w:r>
        <w:t>Guttikunda, S. K. &amp; Calori, G. (2013). A GIS based emissions inventory at 1 km × 1 km spatial resolution for air pollution analysis in Delhi, India. Atmospheric Environment, 67, 101-111.</w:t>
      </w:r>
    </w:p>
    <w:p w14:paraId="0C4B6823" w14:textId="77777777" w:rsidR="00030791" w:rsidRDefault="00030791" w:rsidP="00030791">
      <w:r>
        <w:t>Hamer, M., &amp; Chida, Y. (2008). Active commuting and cardiovascular risk: a meta-analytic review. Preventive medicine, 46(1), 9-13.</w:t>
      </w:r>
    </w:p>
    <w:p w14:paraId="43E6C4C1" w14:textId="77777777" w:rsidR="00030791" w:rsidRDefault="00030791" w:rsidP="00030791">
      <w:proofErr w:type="spellStart"/>
      <w:r>
        <w:t>Harriss</w:t>
      </w:r>
      <w:proofErr w:type="spellEnd"/>
      <w:r>
        <w:t xml:space="preserve">, D. J., Greg Atkinson, A. </w:t>
      </w:r>
      <w:proofErr w:type="spellStart"/>
      <w:r>
        <w:t>Batterham</w:t>
      </w:r>
      <w:proofErr w:type="spellEnd"/>
      <w:r>
        <w:t xml:space="preserve">, K. George, N. Tim Cable, Thomas Reilly, Najib </w:t>
      </w:r>
      <w:proofErr w:type="spellStart"/>
      <w:r>
        <w:t>Haboubi</w:t>
      </w:r>
      <w:proofErr w:type="spellEnd"/>
      <w:r>
        <w:t xml:space="preserve">, Andrew G. </w:t>
      </w:r>
      <w:proofErr w:type="spellStart"/>
      <w:r>
        <w:t>Renehan</w:t>
      </w:r>
      <w:proofErr w:type="spellEnd"/>
      <w:r>
        <w:t xml:space="preserve">, and Colorectal Cancer, Lifestyle, Exercise </w:t>
      </w:r>
      <w:proofErr w:type="gramStart"/>
      <w:r>
        <w:t>And</w:t>
      </w:r>
      <w:proofErr w:type="gramEnd"/>
      <w:r>
        <w:t xml:space="preserve"> Research Group. "Lifestyle factors </w:t>
      </w:r>
      <w:r>
        <w:lastRenderedPageBreak/>
        <w:t>and colorectal cancer risk (2): a systematic review and meta‐analysis of associations with leisure‐time physical activity." Colorectal Disease 11, no. 7 (2009): 689-701.</w:t>
      </w:r>
    </w:p>
    <w:p w14:paraId="0717093E" w14:textId="77777777" w:rsidR="00030791" w:rsidRDefault="00030791" w:rsidP="00030791">
      <w:proofErr w:type="spellStart"/>
      <w:r>
        <w:t>Heffter</w:t>
      </w:r>
      <w:proofErr w:type="spellEnd"/>
      <w:r>
        <w:t>, J.L. (1983). Branching Atmospheric Trajectory (BAT) Model, NOAA Tech. Memo. ERL ARL-121 Air Resources Laboratory, Rockville, MD USA (1983)</w:t>
      </w:r>
    </w:p>
    <w:p w14:paraId="19CA3CEF" w14:textId="77777777" w:rsidR="00030791" w:rsidRDefault="00030791" w:rsidP="00030791">
      <w:r>
        <w:t xml:space="preserve">Jeon, C. Y., </w:t>
      </w:r>
      <w:proofErr w:type="spellStart"/>
      <w:r>
        <w:t>Lokken</w:t>
      </w:r>
      <w:proofErr w:type="spellEnd"/>
      <w:r>
        <w:t>, R. P., Hu, F. B., &amp; Van Dam, R. M. (2007). Physical Activity of Moderate Intensity and Risk of Type 2 Diabetes A systematic review. Diabetes care, 30(3), 744-752.</w:t>
      </w:r>
    </w:p>
    <w:p w14:paraId="7E905325" w14:textId="77777777" w:rsidR="00030791" w:rsidRDefault="00030791" w:rsidP="00030791">
      <w:r>
        <w:t xml:space="preserve">Kelly, P., </w:t>
      </w:r>
      <w:proofErr w:type="spellStart"/>
      <w:r>
        <w:t>Kahlmeier</w:t>
      </w:r>
      <w:proofErr w:type="spellEnd"/>
      <w:r>
        <w:t xml:space="preserve">, S., Götschi, T., Orsini, N., Richards, J., Roberts, </w:t>
      </w:r>
      <w:proofErr w:type="gramStart"/>
      <w:r>
        <w:t>N., ..</w:t>
      </w:r>
      <w:proofErr w:type="gramEnd"/>
      <w:r>
        <w:t xml:space="preserve">&amp; Foster, C. (2014). Systematic review and meta-analysis of reduction in all-cause mortality from walking and cycling and shape of dose response relationship. Int. J. </w:t>
      </w:r>
      <w:proofErr w:type="spellStart"/>
      <w:r>
        <w:t>Behav</w:t>
      </w:r>
      <w:proofErr w:type="spellEnd"/>
      <w:r>
        <w:t xml:space="preserve"> </w:t>
      </w:r>
      <w:proofErr w:type="spellStart"/>
      <w:r>
        <w:t>Nutr</w:t>
      </w:r>
      <w:proofErr w:type="spellEnd"/>
      <w:r>
        <w:t xml:space="preserve">. Phys. </w:t>
      </w:r>
      <w:proofErr w:type="spellStart"/>
      <w:r>
        <w:t>Activ</w:t>
      </w:r>
      <w:proofErr w:type="spellEnd"/>
      <w:r>
        <w:t>, 11.</w:t>
      </w:r>
    </w:p>
    <w:p w14:paraId="01D2A6BC" w14:textId="77777777" w:rsidR="00030791" w:rsidRDefault="00030791" w:rsidP="00030791">
      <w:proofErr w:type="spellStart"/>
      <w:r>
        <w:t>Monninkhof</w:t>
      </w:r>
      <w:proofErr w:type="spellEnd"/>
      <w:r>
        <w:t xml:space="preserve">, E. M., Elias, S. G., </w:t>
      </w:r>
      <w:proofErr w:type="spellStart"/>
      <w:r>
        <w:t>Vlems</w:t>
      </w:r>
      <w:proofErr w:type="spellEnd"/>
      <w:r>
        <w:t xml:space="preserve">, F. A., van der Tweel, I., </w:t>
      </w:r>
      <w:proofErr w:type="spellStart"/>
      <w:r>
        <w:t>Schuit</w:t>
      </w:r>
      <w:proofErr w:type="spellEnd"/>
      <w:r>
        <w:t xml:space="preserve">, A. J., </w:t>
      </w:r>
      <w:proofErr w:type="spellStart"/>
      <w:r>
        <w:t>Voskuil</w:t>
      </w:r>
      <w:proofErr w:type="spellEnd"/>
      <w:r>
        <w:t>, D. W., &amp; van Leeuwen, F. E. (2007). Physical activity and breast cancer: a systematic review. Epidemiology, 137-157.</w:t>
      </w:r>
    </w:p>
    <w:p w14:paraId="09532A2E" w14:textId="77777777" w:rsidR="00030791" w:rsidRDefault="00030791" w:rsidP="00030791">
      <w:r>
        <w:t xml:space="preserve">NCEP (2012). National </w:t>
      </w:r>
      <w:proofErr w:type="spellStart"/>
      <w:r>
        <w:t>Centers</w:t>
      </w:r>
      <w:proofErr w:type="spellEnd"/>
      <w:r>
        <w:t xml:space="preserve"> for Environmental Prediction. National Oceanic and Atmospheric Administration, Maryland, USA (2012)</w:t>
      </w:r>
    </w:p>
    <w:p w14:paraId="5685DCCF" w14:textId="77777777" w:rsidR="00030791" w:rsidRDefault="00030791" w:rsidP="00030791">
      <w:proofErr w:type="spellStart"/>
      <w:r>
        <w:t>Paffenbarger</w:t>
      </w:r>
      <w:proofErr w:type="spellEnd"/>
      <w:r>
        <w:t xml:space="preserve"> Jr, R. S., Lee, I. M., &amp; Leung, R. (1994). Physical activity and personal characteristics associated with depression and suicide in American college men. Acta </w:t>
      </w:r>
      <w:proofErr w:type="spellStart"/>
      <w:r>
        <w:t>Psychiatrica</w:t>
      </w:r>
      <w:proofErr w:type="spellEnd"/>
      <w:r>
        <w:t xml:space="preserve"> Scandinavica, 89, 16-22.</w:t>
      </w:r>
    </w:p>
    <w:p w14:paraId="02065DBD" w14:textId="6874E793" w:rsidR="00DB37E4" w:rsidRPr="00DB37E4" w:rsidRDefault="00030791" w:rsidP="00030791">
      <w:r>
        <w:t>Woodcock, J., Franco, O. H., Orsini, N., &amp; Roberts, I. (2011). Non-vigorous physical activity and all-cause mortality: systematic review and meta-analysis of cohort studies. International Journal of Epidemiology, 40(1), 121-138.</w:t>
      </w:r>
    </w:p>
    <w:sectPr w:rsidR="00DB37E4" w:rsidRPr="00DB37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Garamond Pro">
    <w:altName w:val="Garamond"/>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D46A5"/>
    <w:multiLevelType w:val="hybridMultilevel"/>
    <w:tmpl w:val="12F0D7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2F29DD"/>
    <w:multiLevelType w:val="hybridMultilevel"/>
    <w:tmpl w:val="7B8628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2F5E15"/>
    <w:multiLevelType w:val="multilevel"/>
    <w:tmpl w:val="17E8753A"/>
    <w:lvl w:ilvl="0">
      <w:start w:val="1"/>
      <w:numFmt w:val="decimal"/>
      <w:pStyle w:val="Heading1"/>
      <w:lvlText w:val="%1"/>
      <w:lvlJc w:val="left"/>
      <w:pPr>
        <w:ind w:left="432" w:hanging="432"/>
      </w:pPr>
      <w:rPr>
        <w:b/>
        <w:bCs/>
      </w:rPr>
    </w:lvl>
    <w:lvl w:ilvl="1">
      <w:start w:val="1"/>
      <w:numFmt w:val="decimal"/>
      <w:pStyle w:val="Heading2"/>
      <w:lvlText w:val="%1.%2"/>
      <w:lvlJc w:val="left"/>
      <w:pPr>
        <w:ind w:left="-3294" w:hanging="576"/>
      </w:pPr>
      <w:rPr>
        <w:b/>
        <w:i w:val="0"/>
      </w:rPr>
    </w:lvl>
    <w:lvl w:ilvl="2">
      <w:start w:val="1"/>
      <w:numFmt w:val="decimal"/>
      <w:pStyle w:val="Heading3"/>
      <w:lvlText w:val="%1.%2.%3"/>
      <w:lvlJc w:val="left"/>
      <w:pPr>
        <w:ind w:left="540" w:hanging="720"/>
      </w:pPr>
      <w:rPr>
        <w:i w:val="0"/>
      </w:rPr>
    </w:lvl>
    <w:lvl w:ilvl="3">
      <w:start w:val="1"/>
      <w:numFmt w:val="decimal"/>
      <w:pStyle w:val="Heading4"/>
      <w:lvlText w:val="%1.%2.%3.%4"/>
      <w:lvlJc w:val="left"/>
      <w:pPr>
        <w:ind w:left="1764" w:hanging="864"/>
      </w:pPr>
    </w:lvl>
    <w:lvl w:ilvl="4">
      <w:start w:val="1"/>
      <w:numFmt w:val="decimal"/>
      <w:pStyle w:val="Heading5"/>
      <w:lvlText w:val="%1.%2.%3.%4.%5"/>
      <w:lvlJc w:val="left"/>
      <w:pPr>
        <w:ind w:left="-2862" w:hanging="1008"/>
      </w:pPr>
    </w:lvl>
    <w:lvl w:ilvl="5">
      <w:start w:val="1"/>
      <w:numFmt w:val="decimal"/>
      <w:pStyle w:val="Heading6"/>
      <w:lvlText w:val="%1.%2.%3.%4.%5.%6"/>
      <w:lvlJc w:val="left"/>
      <w:pPr>
        <w:ind w:left="-2718" w:hanging="1152"/>
      </w:pPr>
    </w:lvl>
    <w:lvl w:ilvl="6">
      <w:start w:val="1"/>
      <w:numFmt w:val="decimal"/>
      <w:pStyle w:val="Heading7"/>
      <w:lvlText w:val="%1.%2.%3.%4.%5.%6.%7"/>
      <w:lvlJc w:val="left"/>
      <w:pPr>
        <w:ind w:left="-2574" w:hanging="1296"/>
      </w:pPr>
    </w:lvl>
    <w:lvl w:ilvl="7">
      <w:start w:val="1"/>
      <w:numFmt w:val="decimal"/>
      <w:pStyle w:val="Heading8"/>
      <w:lvlText w:val="%1.%2.%3.%4.%5.%6.%7.%8"/>
      <w:lvlJc w:val="left"/>
      <w:pPr>
        <w:ind w:left="-2430" w:hanging="1440"/>
      </w:pPr>
    </w:lvl>
    <w:lvl w:ilvl="8">
      <w:start w:val="1"/>
      <w:numFmt w:val="decimal"/>
      <w:pStyle w:val="Heading9"/>
      <w:lvlText w:val="%1.%2.%3.%4.%5.%6.%7.%8.%9"/>
      <w:lvlJc w:val="left"/>
      <w:pPr>
        <w:ind w:left="-2286" w:hanging="1584"/>
      </w:pPr>
    </w:lvl>
  </w:abstractNum>
  <w:abstractNum w:abstractNumId="3" w15:restartNumberingAfterBreak="0">
    <w:nsid w:val="3FED3828"/>
    <w:multiLevelType w:val="hybridMultilevel"/>
    <w:tmpl w:val="3258D9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E66450"/>
    <w:multiLevelType w:val="hybridMultilevel"/>
    <w:tmpl w:val="B77824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B05F3E"/>
    <w:multiLevelType w:val="multilevel"/>
    <w:tmpl w:val="95988796"/>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Letter"/>
      <w:lvlText w:val="%3)"/>
      <w:lvlJc w:val="left"/>
      <w:pPr>
        <w:ind w:left="1980" w:hanging="36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15:restartNumberingAfterBreak="0">
    <w:nsid w:val="724057C7"/>
    <w:multiLevelType w:val="hybridMultilevel"/>
    <w:tmpl w:val="76AE8B5A"/>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6"/>
  </w:num>
  <w:num w:numId="6">
    <w:abstractNumId w:val="2"/>
  </w:num>
  <w:num w:numId="7">
    <w:abstractNumId w:val="5"/>
  </w:num>
  <w:num w:numId="8">
    <w:abstractNumId w:val="0"/>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A37"/>
    <w:rsid w:val="00002ACB"/>
    <w:rsid w:val="0000489C"/>
    <w:rsid w:val="000113F6"/>
    <w:rsid w:val="00030791"/>
    <w:rsid w:val="000D43A6"/>
    <w:rsid w:val="00111025"/>
    <w:rsid w:val="00143D29"/>
    <w:rsid w:val="001809F7"/>
    <w:rsid w:val="002B5218"/>
    <w:rsid w:val="002B7A26"/>
    <w:rsid w:val="003755C9"/>
    <w:rsid w:val="004254A8"/>
    <w:rsid w:val="005720E4"/>
    <w:rsid w:val="0058758F"/>
    <w:rsid w:val="005B70C6"/>
    <w:rsid w:val="005C5BE9"/>
    <w:rsid w:val="005D36DC"/>
    <w:rsid w:val="006215E6"/>
    <w:rsid w:val="006A7936"/>
    <w:rsid w:val="006C6802"/>
    <w:rsid w:val="007341E0"/>
    <w:rsid w:val="007B6E2E"/>
    <w:rsid w:val="007C02D1"/>
    <w:rsid w:val="00803ACB"/>
    <w:rsid w:val="00836C5D"/>
    <w:rsid w:val="00871FE3"/>
    <w:rsid w:val="008E1F44"/>
    <w:rsid w:val="009161CE"/>
    <w:rsid w:val="0093093E"/>
    <w:rsid w:val="009B10FC"/>
    <w:rsid w:val="00A31326"/>
    <w:rsid w:val="00A40217"/>
    <w:rsid w:val="00A8047C"/>
    <w:rsid w:val="00A9180A"/>
    <w:rsid w:val="00A9354F"/>
    <w:rsid w:val="00AE67BC"/>
    <w:rsid w:val="00BB3B3F"/>
    <w:rsid w:val="00C315E8"/>
    <w:rsid w:val="00C34A37"/>
    <w:rsid w:val="00C46117"/>
    <w:rsid w:val="00CE64CC"/>
    <w:rsid w:val="00D07F96"/>
    <w:rsid w:val="00D3243D"/>
    <w:rsid w:val="00D600D4"/>
    <w:rsid w:val="00DB37E4"/>
    <w:rsid w:val="00DC0B01"/>
    <w:rsid w:val="00DD5D23"/>
    <w:rsid w:val="00F04D42"/>
    <w:rsid w:val="00F24817"/>
    <w:rsid w:val="00FC241F"/>
    <w:rsid w:val="00FE2E8C"/>
    <w:rsid w:val="00FF7B1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848C4"/>
  <w15:chartTrackingRefBased/>
  <w15:docId w15:val="{20011094-2F2F-4C19-B57B-8B064DC10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4A37"/>
    <w:pPr>
      <w:keepNext/>
      <w:keepLines/>
      <w:numPr>
        <w:numId w:val="1"/>
      </w:numPr>
      <w:spacing w:after="360" w:line="480" w:lineRule="auto"/>
      <w:outlineLvl w:val="0"/>
    </w:pPr>
    <w:rPr>
      <w:rFonts w:asciiTheme="majorHAnsi" w:eastAsiaTheme="majorEastAsia" w:hAnsiTheme="majorHAnsi" w:cstheme="majorBidi"/>
      <w:b/>
      <w:bCs/>
      <w:caps/>
      <w:sz w:val="28"/>
      <w:szCs w:val="28"/>
    </w:rPr>
  </w:style>
  <w:style w:type="paragraph" w:styleId="Heading2">
    <w:name w:val="heading 2"/>
    <w:basedOn w:val="Normal"/>
    <w:next w:val="Normal"/>
    <w:link w:val="Heading2Char"/>
    <w:uiPriority w:val="9"/>
    <w:unhideWhenUsed/>
    <w:qFormat/>
    <w:rsid w:val="00C34A37"/>
    <w:pPr>
      <w:keepNext/>
      <w:keepLines/>
      <w:numPr>
        <w:ilvl w:val="1"/>
        <w:numId w:val="1"/>
      </w:numPr>
      <w:spacing w:before="120" w:after="120" w:line="480" w:lineRule="auto"/>
      <w:outlineLvl w:val="1"/>
    </w:pPr>
    <w:rPr>
      <w:rFonts w:asciiTheme="majorHAnsi" w:eastAsiaTheme="majorEastAsia" w:hAnsiTheme="majorHAnsi" w:cstheme="majorBidi"/>
      <w:b/>
      <w:bCs/>
      <w:caps/>
      <w:sz w:val="26"/>
      <w:szCs w:val="26"/>
    </w:rPr>
  </w:style>
  <w:style w:type="paragraph" w:styleId="Heading3">
    <w:name w:val="heading 3"/>
    <w:basedOn w:val="Normal"/>
    <w:next w:val="Normal"/>
    <w:link w:val="Heading3Char"/>
    <w:uiPriority w:val="9"/>
    <w:unhideWhenUsed/>
    <w:qFormat/>
    <w:rsid w:val="00C34A37"/>
    <w:pPr>
      <w:keepNext/>
      <w:keepLines/>
      <w:numPr>
        <w:ilvl w:val="2"/>
        <w:numId w:val="1"/>
      </w:numPr>
      <w:spacing w:before="120" w:after="120" w:line="480" w:lineRule="auto"/>
      <w:outlineLvl w:val="2"/>
    </w:pPr>
    <w:rPr>
      <w:rFonts w:asciiTheme="majorHAnsi" w:eastAsiaTheme="majorEastAsia" w:hAnsiTheme="majorHAnsi" w:cstheme="majorBidi"/>
      <w:b/>
      <w:bCs/>
      <w:sz w:val="24"/>
    </w:rPr>
  </w:style>
  <w:style w:type="paragraph" w:styleId="Heading4">
    <w:name w:val="heading 4"/>
    <w:basedOn w:val="Normal"/>
    <w:next w:val="Normal"/>
    <w:link w:val="Heading4Char"/>
    <w:uiPriority w:val="9"/>
    <w:unhideWhenUsed/>
    <w:qFormat/>
    <w:rsid w:val="00C34A37"/>
    <w:pPr>
      <w:keepNext/>
      <w:keepLines/>
      <w:numPr>
        <w:ilvl w:val="3"/>
        <w:numId w:val="1"/>
      </w:numPr>
      <w:spacing w:before="200" w:after="0" w:line="480" w:lineRule="auto"/>
      <w:ind w:left="864"/>
      <w:outlineLvl w:val="3"/>
    </w:pPr>
    <w:rPr>
      <w:rFonts w:asciiTheme="majorHAnsi" w:eastAsiaTheme="majorEastAsia" w:hAnsiTheme="majorHAnsi" w:cstheme="majorBidi"/>
      <w:b/>
      <w:bCs/>
      <w:i/>
      <w:iCs/>
      <w:sz w:val="24"/>
    </w:rPr>
  </w:style>
  <w:style w:type="paragraph" w:styleId="Heading5">
    <w:name w:val="heading 5"/>
    <w:basedOn w:val="Heading4"/>
    <w:next w:val="Heading4"/>
    <w:link w:val="Heading5Char"/>
    <w:uiPriority w:val="9"/>
    <w:unhideWhenUsed/>
    <w:qFormat/>
    <w:rsid w:val="00C34A37"/>
    <w:pPr>
      <w:numPr>
        <w:ilvl w:val="4"/>
      </w:numPr>
      <w:outlineLvl w:val="4"/>
    </w:pPr>
    <w:rPr>
      <w:color w:val="000000" w:themeColor="text1"/>
    </w:rPr>
  </w:style>
  <w:style w:type="paragraph" w:styleId="Heading6">
    <w:name w:val="heading 6"/>
    <w:basedOn w:val="Normal"/>
    <w:next w:val="Normal"/>
    <w:link w:val="Heading6Char"/>
    <w:uiPriority w:val="9"/>
    <w:unhideWhenUsed/>
    <w:qFormat/>
    <w:rsid w:val="00C34A37"/>
    <w:pPr>
      <w:keepNext/>
      <w:keepLines/>
      <w:numPr>
        <w:ilvl w:val="5"/>
        <w:numId w:val="1"/>
      </w:numPr>
      <w:spacing w:before="200" w:after="0" w:line="480" w:lineRule="auto"/>
      <w:jc w:val="both"/>
      <w:outlineLvl w:val="5"/>
    </w:pPr>
    <w:rPr>
      <w:rFonts w:asciiTheme="majorHAnsi" w:eastAsiaTheme="majorEastAsia" w:hAnsiTheme="majorHAnsi" w:cstheme="majorBidi"/>
      <w:i/>
      <w:iCs/>
      <w:color w:val="1F3763" w:themeColor="accent1" w:themeShade="7F"/>
      <w:sz w:val="24"/>
    </w:rPr>
  </w:style>
  <w:style w:type="paragraph" w:styleId="Heading7">
    <w:name w:val="heading 7"/>
    <w:basedOn w:val="Normal"/>
    <w:next w:val="Normal"/>
    <w:link w:val="Heading7Char"/>
    <w:uiPriority w:val="9"/>
    <w:unhideWhenUsed/>
    <w:qFormat/>
    <w:rsid w:val="00C34A37"/>
    <w:pPr>
      <w:keepNext/>
      <w:keepLines/>
      <w:numPr>
        <w:ilvl w:val="6"/>
        <w:numId w:val="1"/>
      </w:numPr>
      <w:spacing w:before="200" w:after="0" w:line="480" w:lineRule="auto"/>
      <w:jc w:val="both"/>
      <w:outlineLvl w:val="6"/>
    </w:pPr>
    <w:rPr>
      <w:rFonts w:asciiTheme="majorHAnsi" w:eastAsiaTheme="majorEastAsia" w:hAnsiTheme="majorHAnsi" w:cstheme="majorBidi"/>
      <w:i/>
      <w:iCs/>
      <w:color w:val="404040" w:themeColor="text1" w:themeTint="BF"/>
      <w:sz w:val="24"/>
    </w:rPr>
  </w:style>
  <w:style w:type="paragraph" w:styleId="Heading8">
    <w:name w:val="heading 8"/>
    <w:basedOn w:val="Normal"/>
    <w:next w:val="Normal"/>
    <w:link w:val="Heading8Char"/>
    <w:uiPriority w:val="9"/>
    <w:unhideWhenUsed/>
    <w:qFormat/>
    <w:rsid w:val="00C34A37"/>
    <w:pPr>
      <w:keepNext/>
      <w:keepLines/>
      <w:numPr>
        <w:ilvl w:val="7"/>
        <w:numId w:val="1"/>
      </w:numPr>
      <w:spacing w:before="200" w:after="0" w:line="480" w:lineRule="auto"/>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C34A37"/>
    <w:pPr>
      <w:keepNext/>
      <w:keepLines/>
      <w:numPr>
        <w:ilvl w:val="8"/>
        <w:numId w:val="1"/>
      </w:numPr>
      <w:spacing w:before="200" w:after="0" w:line="48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A37"/>
    <w:rPr>
      <w:rFonts w:asciiTheme="majorHAnsi" w:eastAsiaTheme="majorEastAsia" w:hAnsiTheme="majorHAnsi" w:cstheme="majorBidi"/>
      <w:b/>
      <w:bCs/>
      <w:caps/>
      <w:sz w:val="28"/>
      <w:szCs w:val="28"/>
    </w:rPr>
  </w:style>
  <w:style w:type="character" w:customStyle="1" w:styleId="Heading2Char">
    <w:name w:val="Heading 2 Char"/>
    <w:basedOn w:val="DefaultParagraphFont"/>
    <w:link w:val="Heading2"/>
    <w:uiPriority w:val="9"/>
    <w:rsid w:val="00C34A37"/>
    <w:rPr>
      <w:rFonts w:asciiTheme="majorHAnsi" w:eastAsiaTheme="majorEastAsia" w:hAnsiTheme="majorHAnsi" w:cstheme="majorBidi"/>
      <w:b/>
      <w:bCs/>
      <w:caps/>
      <w:sz w:val="26"/>
      <w:szCs w:val="26"/>
    </w:rPr>
  </w:style>
  <w:style w:type="character" w:customStyle="1" w:styleId="Heading3Char">
    <w:name w:val="Heading 3 Char"/>
    <w:basedOn w:val="DefaultParagraphFont"/>
    <w:link w:val="Heading3"/>
    <w:uiPriority w:val="9"/>
    <w:rsid w:val="00C34A37"/>
    <w:rPr>
      <w:rFonts w:asciiTheme="majorHAnsi" w:eastAsiaTheme="majorEastAsia" w:hAnsiTheme="majorHAnsi" w:cstheme="majorBidi"/>
      <w:b/>
      <w:bCs/>
      <w:sz w:val="24"/>
    </w:rPr>
  </w:style>
  <w:style w:type="character" w:customStyle="1" w:styleId="Heading4Char">
    <w:name w:val="Heading 4 Char"/>
    <w:basedOn w:val="DefaultParagraphFont"/>
    <w:link w:val="Heading4"/>
    <w:uiPriority w:val="9"/>
    <w:rsid w:val="00C34A37"/>
    <w:rPr>
      <w:rFonts w:asciiTheme="majorHAnsi" w:eastAsiaTheme="majorEastAsia" w:hAnsiTheme="majorHAnsi" w:cstheme="majorBidi"/>
      <w:b/>
      <w:bCs/>
      <w:i/>
      <w:iCs/>
      <w:sz w:val="24"/>
    </w:rPr>
  </w:style>
  <w:style w:type="character" w:customStyle="1" w:styleId="Heading5Char">
    <w:name w:val="Heading 5 Char"/>
    <w:basedOn w:val="DefaultParagraphFont"/>
    <w:link w:val="Heading5"/>
    <w:uiPriority w:val="9"/>
    <w:rsid w:val="00C34A37"/>
    <w:rPr>
      <w:rFonts w:asciiTheme="majorHAnsi" w:eastAsiaTheme="majorEastAsia" w:hAnsiTheme="majorHAnsi" w:cstheme="majorBidi"/>
      <w:b/>
      <w:bCs/>
      <w:i/>
      <w:iCs/>
      <w:color w:val="000000" w:themeColor="text1"/>
      <w:sz w:val="24"/>
    </w:rPr>
  </w:style>
  <w:style w:type="character" w:customStyle="1" w:styleId="Heading6Char">
    <w:name w:val="Heading 6 Char"/>
    <w:basedOn w:val="DefaultParagraphFont"/>
    <w:link w:val="Heading6"/>
    <w:uiPriority w:val="9"/>
    <w:rsid w:val="00C34A37"/>
    <w:rPr>
      <w:rFonts w:asciiTheme="majorHAnsi" w:eastAsiaTheme="majorEastAsia" w:hAnsiTheme="majorHAnsi" w:cstheme="majorBidi"/>
      <w:i/>
      <w:iCs/>
      <w:color w:val="1F3763" w:themeColor="accent1" w:themeShade="7F"/>
      <w:sz w:val="24"/>
    </w:rPr>
  </w:style>
  <w:style w:type="character" w:customStyle="1" w:styleId="Heading7Char">
    <w:name w:val="Heading 7 Char"/>
    <w:basedOn w:val="DefaultParagraphFont"/>
    <w:link w:val="Heading7"/>
    <w:uiPriority w:val="9"/>
    <w:rsid w:val="00C34A37"/>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C34A3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C34A37"/>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C34A37"/>
    <w:pPr>
      <w:spacing w:after="200" w:line="276" w:lineRule="auto"/>
      <w:ind w:left="720"/>
      <w:contextualSpacing/>
    </w:pPr>
    <w:rPr>
      <w:rFonts w:eastAsiaTheme="minorEastAsia"/>
      <w:lang w:val="en-US"/>
    </w:rPr>
  </w:style>
  <w:style w:type="table" w:styleId="TableGrid">
    <w:name w:val="Table Grid"/>
    <w:basedOn w:val="TableNormal"/>
    <w:rsid w:val="00C34A37"/>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C34A37"/>
    <w:pPr>
      <w:spacing w:after="0" w:line="240" w:lineRule="auto"/>
      <w:jc w:val="both"/>
    </w:pPr>
    <w:rPr>
      <w:rFonts w:ascii="Times New Roman" w:hAnsi="Times New Roman"/>
      <w:sz w:val="24"/>
    </w:rPr>
  </w:style>
  <w:style w:type="paragraph" w:styleId="Caption">
    <w:name w:val="caption"/>
    <w:basedOn w:val="Normal"/>
    <w:next w:val="Normal"/>
    <w:unhideWhenUsed/>
    <w:qFormat/>
    <w:rsid w:val="00C34A37"/>
    <w:pPr>
      <w:spacing w:after="200" w:line="240" w:lineRule="auto"/>
      <w:jc w:val="both"/>
    </w:pPr>
    <w:rPr>
      <w:rFonts w:ascii="Times New Roman" w:hAnsi="Times New Roman"/>
      <w:b/>
      <w:iCs/>
      <w:color w:val="000000" w:themeColor="text1"/>
      <w:sz w:val="24"/>
      <w:szCs w:val="18"/>
    </w:rPr>
  </w:style>
  <w:style w:type="character" w:customStyle="1" w:styleId="NoSpacingChar">
    <w:name w:val="No Spacing Char"/>
    <w:basedOn w:val="DefaultParagraphFont"/>
    <w:link w:val="NoSpacing"/>
    <w:uiPriority w:val="1"/>
    <w:rsid w:val="00C34A37"/>
    <w:rPr>
      <w:rFonts w:ascii="Times New Roman" w:hAnsi="Times New Roman"/>
      <w:sz w:val="24"/>
    </w:rPr>
  </w:style>
  <w:style w:type="character" w:styleId="PlaceholderText">
    <w:name w:val="Placeholder Text"/>
    <w:basedOn w:val="DefaultParagraphFont"/>
    <w:uiPriority w:val="99"/>
    <w:semiHidden/>
    <w:rsid w:val="00FF7B1E"/>
    <w:rPr>
      <w:color w:val="808080"/>
    </w:rPr>
  </w:style>
  <w:style w:type="character" w:customStyle="1" w:styleId="A5">
    <w:name w:val="A5"/>
    <w:uiPriority w:val="99"/>
    <w:rsid w:val="000D43A6"/>
    <w:rPr>
      <w:rFonts w:cs="Adobe Garamond Pro"/>
      <w:color w:val="000000"/>
      <w:sz w:val="14"/>
      <w:szCs w:val="14"/>
    </w:rPr>
  </w:style>
  <w:style w:type="character" w:styleId="Emphasis">
    <w:name w:val="Emphasis"/>
    <w:basedOn w:val="DefaultParagraphFont"/>
    <w:qFormat/>
    <w:rsid w:val="0093093E"/>
    <w:rPr>
      <w:i/>
      <w:iCs/>
    </w:rPr>
  </w:style>
  <w:style w:type="paragraph" w:styleId="BodyText">
    <w:name w:val="Body Text"/>
    <w:basedOn w:val="Normal"/>
    <w:link w:val="BodyTextChar"/>
    <w:rsid w:val="00A9354F"/>
    <w:pPr>
      <w:spacing w:after="0" w:line="240" w:lineRule="auto"/>
      <w:jc w:val="center"/>
    </w:pPr>
    <w:rPr>
      <w:rFonts w:ascii="Times New Roman" w:eastAsia="Times New Roman" w:hAnsi="Times New Roman" w:cs="Times New Roman"/>
      <w:b/>
      <w:sz w:val="28"/>
      <w:szCs w:val="20"/>
      <w:lang w:val="en-US"/>
    </w:rPr>
  </w:style>
  <w:style w:type="character" w:customStyle="1" w:styleId="BodyTextChar">
    <w:name w:val="Body Text Char"/>
    <w:basedOn w:val="DefaultParagraphFont"/>
    <w:link w:val="BodyText"/>
    <w:rsid w:val="00A9354F"/>
    <w:rPr>
      <w:rFonts w:ascii="Times New Roman" w:eastAsia="Times New Roman" w:hAnsi="Times New Roman" w:cs="Times New Roman"/>
      <w:b/>
      <w:sz w:val="28"/>
      <w:szCs w:val="20"/>
      <w:lang w:val="en-US"/>
    </w:rPr>
  </w:style>
  <w:style w:type="character" w:customStyle="1" w:styleId="tgc">
    <w:name w:val="_tgc"/>
    <w:basedOn w:val="DefaultParagraphFont"/>
    <w:rsid w:val="00A9354F"/>
  </w:style>
  <w:style w:type="character" w:customStyle="1" w:styleId="uni">
    <w:name w:val="uni"/>
    <w:basedOn w:val="DefaultParagraphFont"/>
    <w:rsid w:val="00A9354F"/>
  </w:style>
  <w:style w:type="paragraph" w:styleId="TOCHeading">
    <w:name w:val="TOC Heading"/>
    <w:basedOn w:val="Heading1"/>
    <w:next w:val="Normal"/>
    <w:uiPriority w:val="39"/>
    <w:unhideWhenUsed/>
    <w:qFormat/>
    <w:rsid w:val="007B6E2E"/>
    <w:pPr>
      <w:numPr>
        <w:numId w:val="0"/>
      </w:numPr>
      <w:spacing w:before="240" w:after="0" w:line="259" w:lineRule="auto"/>
      <w:outlineLvl w:val="9"/>
    </w:pPr>
    <w:rPr>
      <w:b w:val="0"/>
      <w:bCs w:val="0"/>
      <w:caps w:val="0"/>
      <w:color w:val="2F5496" w:themeColor="accent1" w:themeShade="BF"/>
      <w:sz w:val="32"/>
      <w:szCs w:val="32"/>
      <w:lang w:val="en-US"/>
    </w:rPr>
  </w:style>
  <w:style w:type="paragraph" w:styleId="TOC1">
    <w:name w:val="toc 1"/>
    <w:basedOn w:val="Normal"/>
    <w:next w:val="Normal"/>
    <w:autoRedefine/>
    <w:uiPriority w:val="39"/>
    <w:unhideWhenUsed/>
    <w:rsid w:val="007B6E2E"/>
    <w:pPr>
      <w:spacing w:after="100"/>
    </w:pPr>
  </w:style>
  <w:style w:type="paragraph" w:styleId="TOC3">
    <w:name w:val="toc 3"/>
    <w:basedOn w:val="Normal"/>
    <w:next w:val="Normal"/>
    <w:autoRedefine/>
    <w:uiPriority w:val="39"/>
    <w:unhideWhenUsed/>
    <w:rsid w:val="007B6E2E"/>
    <w:pPr>
      <w:spacing w:after="100"/>
      <w:ind w:left="440"/>
    </w:pPr>
  </w:style>
  <w:style w:type="character" w:styleId="Hyperlink">
    <w:name w:val="Hyperlink"/>
    <w:basedOn w:val="DefaultParagraphFont"/>
    <w:uiPriority w:val="99"/>
    <w:unhideWhenUsed/>
    <w:rsid w:val="007B6E2E"/>
    <w:rPr>
      <w:color w:val="0563C1" w:themeColor="hyperlink"/>
      <w:u w:val="single"/>
    </w:rPr>
  </w:style>
  <w:style w:type="paragraph" w:styleId="TOC2">
    <w:name w:val="toc 2"/>
    <w:basedOn w:val="Normal"/>
    <w:next w:val="Normal"/>
    <w:autoRedefine/>
    <w:uiPriority w:val="39"/>
    <w:unhideWhenUsed/>
    <w:rsid w:val="00A3132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031196">
      <w:bodyDiv w:val="1"/>
      <w:marLeft w:val="0"/>
      <w:marRight w:val="0"/>
      <w:marTop w:val="0"/>
      <w:marBottom w:val="0"/>
      <w:divBdr>
        <w:top w:val="none" w:sz="0" w:space="0" w:color="auto"/>
        <w:left w:val="none" w:sz="0" w:space="0" w:color="auto"/>
        <w:bottom w:val="none" w:sz="0" w:space="0" w:color="auto"/>
        <w:right w:val="none" w:sz="0" w:space="0" w:color="auto"/>
      </w:divBdr>
    </w:div>
    <w:div w:id="932081549">
      <w:bodyDiv w:val="1"/>
      <w:marLeft w:val="0"/>
      <w:marRight w:val="0"/>
      <w:marTop w:val="0"/>
      <w:marBottom w:val="0"/>
      <w:divBdr>
        <w:top w:val="none" w:sz="0" w:space="0" w:color="auto"/>
        <w:left w:val="none" w:sz="0" w:space="0" w:color="auto"/>
        <w:bottom w:val="none" w:sz="0" w:space="0" w:color="auto"/>
        <w:right w:val="none" w:sz="0" w:space="0" w:color="auto"/>
      </w:divBdr>
    </w:div>
    <w:div w:id="151611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tiff"/><Relationship Id="rId33"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tiff"/><Relationship Id="rId32"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tiff"/><Relationship Id="rId28" Type="http://schemas.openxmlformats.org/officeDocument/2006/relationships/image" Target="media/image23.tiff"/><Relationship Id="rId36"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fontTable" Target="fontTable.xm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F72541E3-D0F5-420E-B0DF-CCDF628E9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3140</TotalTime>
  <Pages>26</Pages>
  <Words>8084</Words>
  <Characters>46085</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Rahul Goel</dc:creator>
  <cp:keywords/>
  <dc:description/>
  <cp:lastModifiedBy>Rahul Goel</cp:lastModifiedBy>
  <cp:revision>21</cp:revision>
  <dcterms:created xsi:type="dcterms:W3CDTF">2021-01-26T05:21:00Z</dcterms:created>
  <dcterms:modified xsi:type="dcterms:W3CDTF">2021-11-29T10:21:00Z</dcterms:modified>
</cp:coreProperties>
</file>